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0360E" w14:paraId="6AF5B3DB" w14:textId="77777777">
        <w:tblPrEx>
          <w:tblCellMar>
            <w:top w:w="0" w:type="dxa"/>
            <w:bottom w:w="0" w:type="dxa"/>
          </w:tblCellMar>
        </w:tblPrEx>
        <w:trPr>
          <w:tblCellSpacing w:w="60" w:type="dxa"/>
        </w:trPr>
        <w:tc>
          <w:tcPr>
            <w:tcW w:w="1200" w:type="pct"/>
            <w:shd w:val="clear" w:color="auto" w:fill="E7F0F9"/>
          </w:tcPr>
          <w:p w14:paraId="747B51E4" w14:textId="77777777" w:rsidR="00A0360E" w:rsidRDefault="00000000">
            <w:pPr>
              <w:spacing w:after="0" w:line="240" w:lineRule="auto"/>
            </w:pPr>
            <w:r>
              <w:rPr>
                <w:b/>
              </w:rPr>
              <w:t>RKP broj</w:t>
            </w:r>
          </w:p>
        </w:tc>
        <w:tc>
          <w:tcPr>
            <w:tcW w:w="0" w:type="auto"/>
            <w:shd w:val="clear" w:color="auto" w:fill="E7F0F9"/>
          </w:tcPr>
          <w:p w14:paraId="3A019D20" w14:textId="77777777" w:rsidR="00A0360E" w:rsidRDefault="00000000">
            <w:pPr>
              <w:spacing w:after="0" w:line="240" w:lineRule="auto"/>
            </w:pPr>
            <w:r>
              <w:t>52590</w:t>
            </w:r>
          </w:p>
        </w:tc>
      </w:tr>
      <w:tr w:rsidR="00A0360E" w14:paraId="2AD7EA57" w14:textId="77777777">
        <w:tblPrEx>
          <w:tblCellMar>
            <w:top w:w="0" w:type="dxa"/>
            <w:bottom w:w="0" w:type="dxa"/>
          </w:tblCellMar>
        </w:tblPrEx>
        <w:trPr>
          <w:tblCellSpacing w:w="60" w:type="dxa"/>
        </w:trPr>
        <w:tc>
          <w:tcPr>
            <w:tcW w:w="1200" w:type="pct"/>
            <w:shd w:val="clear" w:color="auto" w:fill="E7F0F9"/>
          </w:tcPr>
          <w:p w14:paraId="6F01D397" w14:textId="77777777" w:rsidR="00A0360E" w:rsidRDefault="00000000">
            <w:pPr>
              <w:spacing w:after="0" w:line="240" w:lineRule="auto"/>
            </w:pPr>
            <w:r>
              <w:rPr>
                <w:b/>
              </w:rPr>
              <w:t>Naziv obveznika</w:t>
            </w:r>
          </w:p>
        </w:tc>
        <w:tc>
          <w:tcPr>
            <w:tcW w:w="0" w:type="auto"/>
            <w:shd w:val="clear" w:color="auto" w:fill="E7F0F9"/>
          </w:tcPr>
          <w:p w14:paraId="341F2B96" w14:textId="77777777" w:rsidR="00A0360E" w:rsidRDefault="00000000">
            <w:pPr>
              <w:spacing w:after="0" w:line="240" w:lineRule="auto"/>
            </w:pPr>
            <w:r>
              <w:t>KULTURNO-POVIJESNI CENTAR SISAČKO-MOSLAVAČKE ŽUPANIJE</w:t>
            </w:r>
          </w:p>
        </w:tc>
      </w:tr>
      <w:tr w:rsidR="00A0360E" w14:paraId="61C8CBED" w14:textId="77777777">
        <w:tblPrEx>
          <w:tblCellMar>
            <w:top w:w="0" w:type="dxa"/>
            <w:bottom w:w="0" w:type="dxa"/>
          </w:tblCellMar>
        </w:tblPrEx>
        <w:trPr>
          <w:tblCellSpacing w:w="60" w:type="dxa"/>
        </w:trPr>
        <w:tc>
          <w:tcPr>
            <w:tcW w:w="1200" w:type="pct"/>
            <w:shd w:val="clear" w:color="auto" w:fill="E7F0F9"/>
          </w:tcPr>
          <w:p w14:paraId="3845E512" w14:textId="77777777" w:rsidR="00A0360E" w:rsidRDefault="00000000">
            <w:pPr>
              <w:spacing w:after="0" w:line="240" w:lineRule="auto"/>
            </w:pPr>
            <w:r>
              <w:rPr>
                <w:b/>
              </w:rPr>
              <w:t>Razina</w:t>
            </w:r>
          </w:p>
        </w:tc>
        <w:tc>
          <w:tcPr>
            <w:tcW w:w="0" w:type="auto"/>
            <w:shd w:val="clear" w:color="auto" w:fill="E7F0F9"/>
          </w:tcPr>
          <w:p w14:paraId="6C71B8BB" w14:textId="77777777" w:rsidR="00A0360E" w:rsidRDefault="00000000">
            <w:pPr>
              <w:spacing w:after="0" w:line="240" w:lineRule="auto"/>
            </w:pPr>
            <w:r>
              <w:t>21</w:t>
            </w:r>
          </w:p>
        </w:tc>
      </w:tr>
    </w:tbl>
    <w:p w14:paraId="6F4435CF" w14:textId="77777777" w:rsidR="00A0360E" w:rsidRDefault="00000000">
      <w:r>
        <w:br/>
      </w:r>
    </w:p>
    <w:p w14:paraId="26D149ED" w14:textId="77777777" w:rsidR="00A0360E" w:rsidRDefault="00000000">
      <w:pPr>
        <w:spacing w:line="240" w:lineRule="auto"/>
        <w:jc w:val="center"/>
      </w:pPr>
      <w:r>
        <w:rPr>
          <w:b/>
          <w:sz w:val="28"/>
        </w:rPr>
        <w:t>BILJEŠKE UZ FINANCIJSKE IZVJEŠTAJE</w:t>
      </w:r>
    </w:p>
    <w:p w14:paraId="460DC929" w14:textId="77777777" w:rsidR="00A0360E" w:rsidRDefault="00000000">
      <w:pPr>
        <w:spacing w:line="240" w:lineRule="auto"/>
        <w:jc w:val="center"/>
      </w:pPr>
      <w:r>
        <w:rPr>
          <w:b/>
          <w:sz w:val="28"/>
        </w:rPr>
        <w:t>ZA RAZDOBLJE</w:t>
      </w:r>
    </w:p>
    <w:p w14:paraId="19EB0F5A" w14:textId="77777777" w:rsidR="00A0360E" w:rsidRDefault="00000000">
      <w:pPr>
        <w:spacing w:line="240" w:lineRule="auto"/>
        <w:jc w:val="center"/>
      </w:pPr>
      <w:r>
        <w:rPr>
          <w:b/>
          <w:sz w:val="28"/>
        </w:rPr>
        <w:t>I - XII 2025.</w:t>
      </w:r>
    </w:p>
    <w:p w14:paraId="69B8A0EC" w14:textId="77777777" w:rsidR="00A0360E" w:rsidRDefault="00A0360E"/>
    <w:p w14:paraId="6B026489" w14:textId="77777777" w:rsidR="00A0360E" w:rsidRDefault="00000000">
      <w:pPr>
        <w:keepNext/>
        <w:spacing w:line="240" w:lineRule="auto"/>
        <w:jc w:val="center"/>
      </w:pPr>
      <w:r>
        <w:rPr>
          <w:b/>
          <w:sz w:val="28"/>
        </w:rPr>
        <w:t>Izvještaj o prihodima i rashodima, primicima i izdacima</w:t>
      </w:r>
    </w:p>
    <w:p w14:paraId="55D7BDB3" w14:textId="77777777" w:rsidR="00A0360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6561CA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956573"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61DC6D"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51E76F"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28831C" w14:textId="77777777" w:rsidR="00A036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3AB7B1" w14:textId="77777777" w:rsidR="00A036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A5D825" w14:textId="77777777" w:rsidR="00A0360E" w:rsidRDefault="00000000">
            <w:pPr>
              <w:keepNext/>
              <w:keepLines/>
              <w:spacing w:after="0" w:line="240" w:lineRule="auto"/>
              <w:jc w:val="center"/>
            </w:pPr>
            <w:r>
              <w:rPr>
                <w:b/>
                <w:sz w:val="18"/>
              </w:rPr>
              <w:t>Indeks (%)</w:t>
            </w:r>
          </w:p>
        </w:tc>
      </w:tr>
      <w:tr w:rsidR="00A0360E" w14:paraId="3442EE19" w14:textId="77777777">
        <w:tblPrEx>
          <w:tblCellMar>
            <w:top w:w="0" w:type="dxa"/>
            <w:bottom w:w="0" w:type="dxa"/>
          </w:tblCellMar>
        </w:tblPrEx>
        <w:trPr>
          <w:cantSplit/>
          <w:trHeight w:val="560"/>
        </w:trPr>
        <w:tc>
          <w:tcPr>
            <w:tcW w:w="700" w:type="dxa"/>
            <w:tcMar>
              <w:top w:w="0" w:type="dxa"/>
              <w:bottom w:w="0" w:type="dxa"/>
            </w:tcMar>
            <w:vAlign w:val="center"/>
          </w:tcPr>
          <w:p w14:paraId="73B2A483" w14:textId="77777777" w:rsidR="00A0360E" w:rsidRDefault="00000000">
            <w:pPr>
              <w:keepNext/>
              <w:keepLines/>
              <w:spacing w:after="0" w:line="240" w:lineRule="auto"/>
            </w:pPr>
            <w:r>
              <w:rPr>
                <w:sz w:val="18"/>
              </w:rPr>
              <w:t>6</w:t>
            </w:r>
          </w:p>
        </w:tc>
        <w:tc>
          <w:tcPr>
            <w:tcW w:w="3180" w:type="dxa"/>
            <w:tcMar>
              <w:top w:w="0" w:type="dxa"/>
              <w:bottom w:w="0" w:type="dxa"/>
            </w:tcMar>
            <w:vAlign w:val="center"/>
          </w:tcPr>
          <w:p w14:paraId="275E1B32" w14:textId="77777777" w:rsidR="00A0360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0460C54" w14:textId="77777777" w:rsidR="00A0360E" w:rsidRDefault="00000000">
            <w:pPr>
              <w:keepNext/>
              <w:keepLines/>
              <w:spacing w:after="0" w:line="240" w:lineRule="auto"/>
            </w:pPr>
            <w:r>
              <w:rPr>
                <w:sz w:val="18"/>
              </w:rPr>
              <w:t>6</w:t>
            </w:r>
          </w:p>
        </w:tc>
        <w:tc>
          <w:tcPr>
            <w:tcW w:w="1860" w:type="dxa"/>
            <w:tcMar>
              <w:top w:w="0" w:type="dxa"/>
              <w:bottom w:w="0" w:type="dxa"/>
            </w:tcMar>
            <w:vAlign w:val="center"/>
          </w:tcPr>
          <w:p w14:paraId="7A53D112" w14:textId="77777777" w:rsidR="00A0360E" w:rsidRDefault="00000000">
            <w:pPr>
              <w:keepNext/>
              <w:keepLines/>
              <w:spacing w:after="0" w:line="240" w:lineRule="auto"/>
              <w:jc w:val="right"/>
            </w:pPr>
            <w:r>
              <w:rPr>
                <w:sz w:val="18"/>
              </w:rPr>
              <w:t>362.443,40</w:t>
            </w:r>
          </w:p>
        </w:tc>
        <w:tc>
          <w:tcPr>
            <w:tcW w:w="1860" w:type="dxa"/>
            <w:tcMar>
              <w:top w:w="0" w:type="dxa"/>
              <w:bottom w:w="0" w:type="dxa"/>
            </w:tcMar>
            <w:vAlign w:val="center"/>
          </w:tcPr>
          <w:p w14:paraId="7C88A894" w14:textId="77777777" w:rsidR="00A0360E" w:rsidRDefault="00000000">
            <w:pPr>
              <w:keepNext/>
              <w:keepLines/>
              <w:spacing w:after="0" w:line="240" w:lineRule="auto"/>
              <w:jc w:val="right"/>
            </w:pPr>
            <w:r>
              <w:rPr>
                <w:sz w:val="18"/>
              </w:rPr>
              <w:t>418.970,06</w:t>
            </w:r>
          </w:p>
        </w:tc>
        <w:tc>
          <w:tcPr>
            <w:tcW w:w="700" w:type="dxa"/>
            <w:tcMar>
              <w:top w:w="0" w:type="dxa"/>
              <w:bottom w:w="0" w:type="dxa"/>
            </w:tcMar>
            <w:vAlign w:val="center"/>
          </w:tcPr>
          <w:p w14:paraId="21B83E83" w14:textId="77777777" w:rsidR="00A0360E" w:rsidRDefault="00000000">
            <w:pPr>
              <w:keepNext/>
              <w:keepLines/>
              <w:spacing w:after="0" w:line="240" w:lineRule="auto"/>
              <w:jc w:val="right"/>
            </w:pPr>
            <w:r>
              <w:rPr>
                <w:sz w:val="18"/>
              </w:rPr>
              <w:t>115,6</w:t>
            </w:r>
          </w:p>
        </w:tc>
      </w:tr>
      <w:tr w:rsidR="00A0360E" w14:paraId="0013F746" w14:textId="77777777">
        <w:tblPrEx>
          <w:tblCellMar>
            <w:top w:w="0" w:type="dxa"/>
            <w:bottom w:w="0" w:type="dxa"/>
          </w:tblCellMar>
        </w:tblPrEx>
        <w:trPr>
          <w:cantSplit/>
          <w:trHeight w:val="560"/>
        </w:trPr>
        <w:tc>
          <w:tcPr>
            <w:tcW w:w="700" w:type="dxa"/>
            <w:tcMar>
              <w:top w:w="0" w:type="dxa"/>
              <w:bottom w:w="0" w:type="dxa"/>
            </w:tcMar>
            <w:vAlign w:val="center"/>
          </w:tcPr>
          <w:p w14:paraId="06B50C01" w14:textId="77777777" w:rsidR="00A0360E" w:rsidRDefault="00000000">
            <w:pPr>
              <w:keepNext/>
              <w:keepLines/>
              <w:spacing w:after="0" w:line="240" w:lineRule="auto"/>
            </w:pPr>
            <w:r>
              <w:rPr>
                <w:sz w:val="18"/>
              </w:rPr>
              <w:t>3</w:t>
            </w:r>
          </w:p>
        </w:tc>
        <w:tc>
          <w:tcPr>
            <w:tcW w:w="3180" w:type="dxa"/>
            <w:tcMar>
              <w:top w:w="0" w:type="dxa"/>
              <w:bottom w:w="0" w:type="dxa"/>
            </w:tcMar>
            <w:vAlign w:val="center"/>
          </w:tcPr>
          <w:p w14:paraId="6A9A2A73" w14:textId="77777777" w:rsidR="00A0360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75B5E70" w14:textId="77777777" w:rsidR="00A0360E" w:rsidRDefault="00000000">
            <w:pPr>
              <w:keepNext/>
              <w:keepLines/>
              <w:spacing w:after="0" w:line="240" w:lineRule="auto"/>
            </w:pPr>
            <w:r>
              <w:rPr>
                <w:sz w:val="18"/>
              </w:rPr>
              <w:t>3</w:t>
            </w:r>
          </w:p>
        </w:tc>
        <w:tc>
          <w:tcPr>
            <w:tcW w:w="1860" w:type="dxa"/>
            <w:tcMar>
              <w:top w:w="0" w:type="dxa"/>
              <w:bottom w:w="0" w:type="dxa"/>
            </w:tcMar>
            <w:vAlign w:val="center"/>
          </w:tcPr>
          <w:p w14:paraId="4742AE4D" w14:textId="77777777" w:rsidR="00A0360E" w:rsidRDefault="00000000">
            <w:pPr>
              <w:keepNext/>
              <w:keepLines/>
              <w:spacing w:after="0" w:line="240" w:lineRule="auto"/>
              <w:jc w:val="right"/>
            </w:pPr>
            <w:r>
              <w:rPr>
                <w:sz w:val="18"/>
              </w:rPr>
              <w:t>272.817,89</w:t>
            </w:r>
          </w:p>
        </w:tc>
        <w:tc>
          <w:tcPr>
            <w:tcW w:w="1860" w:type="dxa"/>
            <w:tcMar>
              <w:top w:w="0" w:type="dxa"/>
              <w:bottom w:w="0" w:type="dxa"/>
            </w:tcMar>
            <w:vAlign w:val="center"/>
          </w:tcPr>
          <w:p w14:paraId="6425A1FA" w14:textId="77777777" w:rsidR="00A0360E" w:rsidRDefault="00000000">
            <w:pPr>
              <w:keepNext/>
              <w:keepLines/>
              <w:spacing w:after="0" w:line="240" w:lineRule="auto"/>
              <w:jc w:val="right"/>
            </w:pPr>
            <w:r>
              <w:rPr>
                <w:sz w:val="18"/>
              </w:rPr>
              <w:t>444.836,01</w:t>
            </w:r>
          </w:p>
        </w:tc>
        <w:tc>
          <w:tcPr>
            <w:tcW w:w="700" w:type="dxa"/>
            <w:tcMar>
              <w:top w:w="0" w:type="dxa"/>
              <w:bottom w:w="0" w:type="dxa"/>
            </w:tcMar>
            <w:vAlign w:val="center"/>
          </w:tcPr>
          <w:p w14:paraId="12C3E424" w14:textId="77777777" w:rsidR="00A0360E" w:rsidRDefault="00000000">
            <w:pPr>
              <w:keepNext/>
              <w:keepLines/>
              <w:spacing w:after="0" w:line="240" w:lineRule="auto"/>
              <w:jc w:val="right"/>
            </w:pPr>
            <w:r>
              <w:rPr>
                <w:sz w:val="18"/>
              </w:rPr>
              <w:t>163,1</w:t>
            </w:r>
          </w:p>
        </w:tc>
      </w:tr>
      <w:tr w:rsidR="00A0360E" w14:paraId="521ADE69" w14:textId="77777777">
        <w:tblPrEx>
          <w:tblCellMar>
            <w:top w:w="0" w:type="dxa"/>
            <w:bottom w:w="0" w:type="dxa"/>
          </w:tblCellMar>
        </w:tblPrEx>
        <w:trPr>
          <w:cantSplit/>
          <w:trHeight w:val="560"/>
        </w:trPr>
        <w:tc>
          <w:tcPr>
            <w:tcW w:w="700" w:type="dxa"/>
            <w:tcMar>
              <w:top w:w="0" w:type="dxa"/>
              <w:bottom w:w="0" w:type="dxa"/>
            </w:tcMar>
            <w:vAlign w:val="center"/>
          </w:tcPr>
          <w:p w14:paraId="1901E2C4" w14:textId="77777777" w:rsidR="00A0360E" w:rsidRDefault="00A0360E">
            <w:pPr>
              <w:keepNext/>
              <w:keepLines/>
              <w:spacing w:after="0" w:line="240" w:lineRule="auto"/>
            </w:pPr>
          </w:p>
        </w:tc>
        <w:tc>
          <w:tcPr>
            <w:tcW w:w="3180" w:type="dxa"/>
            <w:tcMar>
              <w:top w:w="0" w:type="dxa"/>
              <w:bottom w:w="0" w:type="dxa"/>
            </w:tcMar>
            <w:vAlign w:val="center"/>
          </w:tcPr>
          <w:p w14:paraId="786544BB" w14:textId="77777777" w:rsidR="00A0360E"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00AA506" w14:textId="77777777" w:rsidR="00A0360E" w:rsidRDefault="00000000">
            <w:pPr>
              <w:keepNext/>
              <w:keepLines/>
              <w:spacing w:after="0" w:line="240" w:lineRule="auto"/>
            </w:pPr>
            <w:r>
              <w:rPr>
                <w:b/>
                <w:sz w:val="18"/>
              </w:rPr>
              <w:t>Y001</w:t>
            </w:r>
          </w:p>
        </w:tc>
        <w:tc>
          <w:tcPr>
            <w:tcW w:w="1860" w:type="dxa"/>
            <w:tcMar>
              <w:top w:w="0" w:type="dxa"/>
              <w:bottom w:w="0" w:type="dxa"/>
            </w:tcMar>
            <w:vAlign w:val="center"/>
          </w:tcPr>
          <w:p w14:paraId="1369BEF5" w14:textId="77777777" w:rsidR="00A0360E" w:rsidRDefault="00000000">
            <w:pPr>
              <w:keepNext/>
              <w:keepLines/>
              <w:spacing w:after="0" w:line="240" w:lineRule="auto"/>
              <w:jc w:val="right"/>
            </w:pPr>
            <w:r>
              <w:rPr>
                <w:b/>
                <w:sz w:val="18"/>
              </w:rPr>
              <w:t>0,00</w:t>
            </w:r>
          </w:p>
        </w:tc>
        <w:tc>
          <w:tcPr>
            <w:tcW w:w="1860" w:type="dxa"/>
            <w:tcMar>
              <w:top w:w="0" w:type="dxa"/>
              <w:bottom w:w="0" w:type="dxa"/>
            </w:tcMar>
            <w:vAlign w:val="center"/>
          </w:tcPr>
          <w:p w14:paraId="5ACF866F" w14:textId="77777777" w:rsidR="00A0360E" w:rsidRDefault="00000000">
            <w:pPr>
              <w:keepNext/>
              <w:keepLines/>
              <w:spacing w:after="0" w:line="240" w:lineRule="auto"/>
              <w:jc w:val="right"/>
            </w:pPr>
            <w:r>
              <w:rPr>
                <w:b/>
                <w:sz w:val="18"/>
              </w:rPr>
              <w:t>25.865,95</w:t>
            </w:r>
          </w:p>
        </w:tc>
        <w:tc>
          <w:tcPr>
            <w:tcW w:w="700" w:type="dxa"/>
            <w:tcMar>
              <w:top w:w="0" w:type="dxa"/>
              <w:bottom w:w="0" w:type="dxa"/>
            </w:tcMar>
            <w:vAlign w:val="center"/>
          </w:tcPr>
          <w:p w14:paraId="66652A76" w14:textId="77777777" w:rsidR="00A0360E" w:rsidRDefault="00000000">
            <w:pPr>
              <w:keepNext/>
              <w:keepLines/>
              <w:spacing w:after="0" w:line="240" w:lineRule="auto"/>
              <w:jc w:val="right"/>
            </w:pPr>
            <w:r>
              <w:rPr>
                <w:b/>
                <w:sz w:val="18"/>
              </w:rPr>
              <w:t>-</w:t>
            </w:r>
          </w:p>
        </w:tc>
      </w:tr>
      <w:tr w:rsidR="00A0360E" w14:paraId="4F4B5007" w14:textId="77777777">
        <w:tblPrEx>
          <w:tblCellMar>
            <w:top w:w="0" w:type="dxa"/>
            <w:bottom w:w="0" w:type="dxa"/>
          </w:tblCellMar>
        </w:tblPrEx>
        <w:trPr>
          <w:cantSplit/>
          <w:trHeight w:val="560"/>
        </w:trPr>
        <w:tc>
          <w:tcPr>
            <w:tcW w:w="700" w:type="dxa"/>
            <w:tcMar>
              <w:top w:w="0" w:type="dxa"/>
              <w:bottom w:w="0" w:type="dxa"/>
            </w:tcMar>
            <w:vAlign w:val="center"/>
          </w:tcPr>
          <w:p w14:paraId="6BD35169" w14:textId="77777777" w:rsidR="00A0360E" w:rsidRDefault="00000000">
            <w:pPr>
              <w:keepNext/>
              <w:keepLines/>
              <w:spacing w:after="0" w:line="240" w:lineRule="auto"/>
            </w:pPr>
            <w:r>
              <w:rPr>
                <w:sz w:val="18"/>
              </w:rPr>
              <w:t>7</w:t>
            </w:r>
          </w:p>
        </w:tc>
        <w:tc>
          <w:tcPr>
            <w:tcW w:w="3180" w:type="dxa"/>
            <w:tcMar>
              <w:top w:w="0" w:type="dxa"/>
              <w:bottom w:w="0" w:type="dxa"/>
            </w:tcMar>
            <w:vAlign w:val="center"/>
          </w:tcPr>
          <w:p w14:paraId="24E71F3C" w14:textId="77777777" w:rsidR="00A0360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1A5FE76" w14:textId="77777777" w:rsidR="00A0360E" w:rsidRDefault="00000000">
            <w:pPr>
              <w:keepNext/>
              <w:keepLines/>
              <w:spacing w:after="0" w:line="240" w:lineRule="auto"/>
            </w:pPr>
            <w:r>
              <w:rPr>
                <w:sz w:val="18"/>
              </w:rPr>
              <w:t>7</w:t>
            </w:r>
          </w:p>
        </w:tc>
        <w:tc>
          <w:tcPr>
            <w:tcW w:w="1860" w:type="dxa"/>
            <w:tcMar>
              <w:top w:w="0" w:type="dxa"/>
              <w:bottom w:w="0" w:type="dxa"/>
            </w:tcMar>
            <w:vAlign w:val="center"/>
          </w:tcPr>
          <w:p w14:paraId="681FE183"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2A1B46F7" w14:textId="77777777" w:rsidR="00A0360E" w:rsidRDefault="00000000">
            <w:pPr>
              <w:keepNext/>
              <w:keepLines/>
              <w:spacing w:after="0" w:line="240" w:lineRule="auto"/>
              <w:jc w:val="right"/>
            </w:pPr>
            <w:r>
              <w:rPr>
                <w:sz w:val="18"/>
              </w:rPr>
              <w:t>0,00</w:t>
            </w:r>
          </w:p>
        </w:tc>
        <w:tc>
          <w:tcPr>
            <w:tcW w:w="700" w:type="dxa"/>
            <w:tcMar>
              <w:top w:w="0" w:type="dxa"/>
              <w:bottom w:w="0" w:type="dxa"/>
            </w:tcMar>
            <w:vAlign w:val="center"/>
          </w:tcPr>
          <w:p w14:paraId="737E4C8A" w14:textId="77777777" w:rsidR="00A0360E" w:rsidRDefault="00000000">
            <w:pPr>
              <w:keepNext/>
              <w:keepLines/>
              <w:spacing w:after="0" w:line="240" w:lineRule="auto"/>
              <w:jc w:val="right"/>
            </w:pPr>
            <w:r>
              <w:rPr>
                <w:sz w:val="18"/>
              </w:rPr>
              <w:t>-</w:t>
            </w:r>
          </w:p>
        </w:tc>
      </w:tr>
      <w:tr w:rsidR="00A0360E" w14:paraId="4BC9E6EC" w14:textId="77777777">
        <w:tblPrEx>
          <w:tblCellMar>
            <w:top w:w="0" w:type="dxa"/>
            <w:bottom w:w="0" w:type="dxa"/>
          </w:tblCellMar>
        </w:tblPrEx>
        <w:trPr>
          <w:cantSplit/>
          <w:trHeight w:val="560"/>
        </w:trPr>
        <w:tc>
          <w:tcPr>
            <w:tcW w:w="700" w:type="dxa"/>
            <w:tcMar>
              <w:top w:w="0" w:type="dxa"/>
              <w:bottom w:w="0" w:type="dxa"/>
            </w:tcMar>
            <w:vAlign w:val="center"/>
          </w:tcPr>
          <w:p w14:paraId="174A0D2A" w14:textId="77777777" w:rsidR="00A0360E" w:rsidRDefault="00000000">
            <w:pPr>
              <w:keepNext/>
              <w:keepLines/>
              <w:spacing w:after="0" w:line="240" w:lineRule="auto"/>
            </w:pPr>
            <w:r>
              <w:rPr>
                <w:sz w:val="18"/>
              </w:rPr>
              <w:t>4</w:t>
            </w:r>
          </w:p>
        </w:tc>
        <w:tc>
          <w:tcPr>
            <w:tcW w:w="3180" w:type="dxa"/>
            <w:tcMar>
              <w:top w:w="0" w:type="dxa"/>
              <w:bottom w:w="0" w:type="dxa"/>
            </w:tcMar>
            <w:vAlign w:val="center"/>
          </w:tcPr>
          <w:p w14:paraId="0EE7B7F6" w14:textId="77777777" w:rsidR="00A0360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A891894" w14:textId="77777777" w:rsidR="00A0360E" w:rsidRDefault="00000000">
            <w:pPr>
              <w:keepNext/>
              <w:keepLines/>
              <w:spacing w:after="0" w:line="240" w:lineRule="auto"/>
            </w:pPr>
            <w:r>
              <w:rPr>
                <w:sz w:val="18"/>
              </w:rPr>
              <w:t>4</w:t>
            </w:r>
          </w:p>
        </w:tc>
        <w:tc>
          <w:tcPr>
            <w:tcW w:w="1860" w:type="dxa"/>
            <w:tcMar>
              <w:top w:w="0" w:type="dxa"/>
              <w:bottom w:w="0" w:type="dxa"/>
            </w:tcMar>
            <w:vAlign w:val="center"/>
          </w:tcPr>
          <w:p w14:paraId="2880D928" w14:textId="77777777" w:rsidR="00A0360E" w:rsidRDefault="00000000">
            <w:pPr>
              <w:keepNext/>
              <w:keepLines/>
              <w:spacing w:after="0" w:line="240" w:lineRule="auto"/>
              <w:jc w:val="right"/>
            </w:pPr>
            <w:r>
              <w:rPr>
                <w:sz w:val="18"/>
              </w:rPr>
              <w:t>89.684,27</w:t>
            </w:r>
          </w:p>
        </w:tc>
        <w:tc>
          <w:tcPr>
            <w:tcW w:w="1860" w:type="dxa"/>
            <w:tcMar>
              <w:top w:w="0" w:type="dxa"/>
              <w:bottom w:w="0" w:type="dxa"/>
            </w:tcMar>
            <w:vAlign w:val="center"/>
          </w:tcPr>
          <w:p w14:paraId="7217A2E1" w14:textId="77777777" w:rsidR="00A0360E" w:rsidRDefault="00000000">
            <w:pPr>
              <w:keepNext/>
              <w:keepLines/>
              <w:spacing w:after="0" w:line="240" w:lineRule="auto"/>
              <w:jc w:val="right"/>
            </w:pPr>
            <w:r>
              <w:rPr>
                <w:sz w:val="18"/>
              </w:rPr>
              <w:t>9.905,87</w:t>
            </w:r>
          </w:p>
        </w:tc>
        <w:tc>
          <w:tcPr>
            <w:tcW w:w="700" w:type="dxa"/>
            <w:tcMar>
              <w:top w:w="0" w:type="dxa"/>
              <w:bottom w:w="0" w:type="dxa"/>
            </w:tcMar>
            <w:vAlign w:val="center"/>
          </w:tcPr>
          <w:p w14:paraId="0FD0794B" w14:textId="77777777" w:rsidR="00A0360E" w:rsidRDefault="00000000">
            <w:pPr>
              <w:keepNext/>
              <w:keepLines/>
              <w:spacing w:after="0" w:line="240" w:lineRule="auto"/>
              <w:jc w:val="right"/>
            </w:pPr>
            <w:r>
              <w:rPr>
                <w:sz w:val="18"/>
              </w:rPr>
              <w:t>11,0</w:t>
            </w:r>
          </w:p>
        </w:tc>
      </w:tr>
      <w:tr w:rsidR="00A0360E" w14:paraId="0DDEEB6E" w14:textId="77777777">
        <w:tblPrEx>
          <w:tblCellMar>
            <w:top w:w="0" w:type="dxa"/>
            <w:bottom w:w="0" w:type="dxa"/>
          </w:tblCellMar>
        </w:tblPrEx>
        <w:trPr>
          <w:cantSplit/>
          <w:trHeight w:val="560"/>
        </w:trPr>
        <w:tc>
          <w:tcPr>
            <w:tcW w:w="700" w:type="dxa"/>
            <w:tcMar>
              <w:top w:w="0" w:type="dxa"/>
              <w:bottom w:w="0" w:type="dxa"/>
            </w:tcMar>
            <w:vAlign w:val="center"/>
          </w:tcPr>
          <w:p w14:paraId="1BACB9D0" w14:textId="77777777" w:rsidR="00A0360E" w:rsidRDefault="00A0360E">
            <w:pPr>
              <w:keepNext/>
              <w:keepLines/>
              <w:spacing w:after="0" w:line="240" w:lineRule="auto"/>
            </w:pPr>
          </w:p>
        </w:tc>
        <w:tc>
          <w:tcPr>
            <w:tcW w:w="3180" w:type="dxa"/>
            <w:tcMar>
              <w:top w:w="0" w:type="dxa"/>
              <w:bottom w:w="0" w:type="dxa"/>
            </w:tcMar>
            <w:vAlign w:val="center"/>
          </w:tcPr>
          <w:p w14:paraId="4C611E61" w14:textId="77777777" w:rsidR="00A0360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4D74375" w14:textId="77777777" w:rsidR="00A0360E" w:rsidRDefault="00000000">
            <w:pPr>
              <w:keepNext/>
              <w:keepLines/>
              <w:spacing w:after="0" w:line="240" w:lineRule="auto"/>
            </w:pPr>
            <w:r>
              <w:rPr>
                <w:b/>
                <w:sz w:val="18"/>
              </w:rPr>
              <w:t>Y002</w:t>
            </w:r>
          </w:p>
        </w:tc>
        <w:tc>
          <w:tcPr>
            <w:tcW w:w="1860" w:type="dxa"/>
            <w:tcMar>
              <w:top w:w="0" w:type="dxa"/>
              <w:bottom w:w="0" w:type="dxa"/>
            </w:tcMar>
            <w:vAlign w:val="center"/>
          </w:tcPr>
          <w:p w14:paraId="1143BFA4" w14:textId="77777777" w:rsidR="00A0360E" w:rsidRDefault="00000000">
            <w:pPr>
              <w:keepNext/>
              <w:keepLines/>
              <w:spacing w:after="0" w:line="240" w:lineRule="auto"/>
              <w:jc w:val="right"/>
            </w:pPr>
            <w:r>
              <w:rPr>
                <w:b/>
                <w:sz w:val="18"/>
              </w:rPr>
              <w:t>89.684,27</w:t>
            </w:r>
          </w:p>
        </w:tc>
        <w:tc>
          <w:tcPr>
            <w:tcW w:w="1860" w:type="dxa"/>
            <w:tcMar>
              <w:top w:w="0" w:type="dxa"/>
              <w:bottom w:w="0" w:type="dxa"/>
            </w:tcMar>
            <w:vAlign w:val="center"/>
          </w:tcPr>
          <w:p w14:paraId="6F1BABC6" w14:textId="77777777" w:rsidR="00A0360E" w:rsidRDefault="00000000">
            <w:pPr>
              <w:keepNext/>
              <w:keepLines/>
              <w:spacing w:after="0" w:line="240" w:lineRule="auto"/>
              <w:jc w:val="right"/>
            </w:pPr>
            <w:r>
              <w:rPr>
                <w:b/>
                <w:sz w:val="18"/>
              </w:rPr>
              <w:t>9.905,87</w:t>
            </w:r>
          </w:p>
        </w:tc>
        <w:tc>
          <w:tcPr>
            <w:tcW w:w="700" w:type="dxa"/>
            <w:tcMar>
              <w:top w:w="0" w:type="dxa"/>
              <w:bottom w:w="0" w:type="dxa"/>
            </w:tcMar>
            <w:vAlign w:val="center"/>
          </w:tcPr>
          <w:p w14:paraId="1399C9C9" w14:textId="77777777" w:rsidR="00A0360E" w:rsidRDefault="00000000">
            <w:pPr>
              <w:keepNext/>
              <w:keepLines/>
              <w:spacing w:after="0" w:line="240" w:lineRule="auto"/>
              <w:jc w:val="right"/>
            </w:pPr>
            <w:r>
              <w:rPr>
                <w:b/>
                <w:sz w:val="18"/>
              </w:rPr>
              <w:t>11,0</w:t>
            </w:r>
          </w:p>
        </w:tc>
      </w:tr>
      <w:tr w:rsidR="00A0360E" w14:paraId="5681B95E" w14:textId="77777777">
        <w:tblPrEx>
          <w:tblCellMar>
            <w:top w:w="0" w:type="dxa"/>
            <w:bottom w:w="0" w:type="dxa"/>
          </w:tblCellMar>
        </w:tblPrEx>
        <w:trPr>
          <w:cantSplit/>
          <w:trHeight w:val="560"/>
        </w:trPr>
        <w:tc>
          <w:tcPr>
            <w:tcW w:w="700" w:type="dxa"/>
            <w:tcMar>
              <w:top w:w="0" w:type="dxa"/>
              <w:bottom w:w="0" w:type="dxa"/>
            </w:tcMar>
            <w:vAlign w:val="center"/>
          </w:tcPr>
          <w:p w14:paraId="3BFA9269" w14:textId="77777777" w:rsidR="00A0360E" w:rsidRDefault="00000000">
            <w:pPr>
              <w:keepNext/>
              <w:keepLines/>
              <w:spacing w:after="0" w:line="240" w:lineRule="auto"/>
            </w:pPr>
            <w:r>
              <w:rPr>
                <w:sz w:val="18"/>
              </w:rPr>
              <w:t>8</w:t>
            </w:r>
          </w:p>
        </w:tc>
        <w:tc>
          <w:tcPr>
            <w:tcW w:w="3180" w:type="dxa"/>
            <w:tcMar>
              <w:top w:w="0" w:type="dxa"/>
              <w:bottom w:w="0" w:type="dxa"/>
            </w:tcMar>
            <w:vAlign w:val="center"/>
          </w:tcPr>
          <w:p w14:paraId="16CF8982" w14:textId="77777777" w:rsidR="00A0360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2DAFF05" w14:textId="77777777" w:rsidR="00A0360E" w:rsidRDefault="00000000">
            <w:pPr>
              <w:keepNext/>
              <w:keepLines/>
              <w:spacing w:after="0" w:line="240" w:lineRule="auto"/>
            </w:pPr>
            <w:r>
              <w:rPr>
                <w:sz w:val="18"/>
              </w:rPr>
              <w:t>8</w:t>
            </w:r>
          </w:p>
        </w:tc>
        <w:tc>
          <w:tcPr>
            <w:tcW w:w="1860" w:type="dxa"/>
            <w:tcMar>
              <w:top w:w="0" w:type="dxa"/>
              <w:bottom w:w="0" w:type="dxa"/>
            </w:tcMar>
            <w:vAlign w:val="center"/>
          </w:tcPr>
          <w:p w14:paraId="16761E8A"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4C7E3EB1" w14:textId="77777777" w:rsidR="00A0360E" w:rsidRDefault="00000000">
            <w:pPr>
              <w:keepNext/>
              <w:keepLines/>
              <w:spacing w:after="0" w:line="240" w:lineRule="auto"/>
              <w:jc w:val="right"/>
            </w:pPr>
            <w:r>
              <w:rPr>
                <w:sz w:val="18"/>
              </w:rPr>
              <w:t>0,00</w:t>
            </w:r>
          </w:p>
        </w:tc>
        <w:tc>
          <w:tcPr>
            <w:tcW w:w="700" w:type="dxa"/>
            <w:tcMar>
              <w:top w:w="0" w:type="dxa"/>
              <w:bottom w:w="0" w:type="dxa"/>
            </w:tcMar>
            <w:vAlign w:val="center"/>
          </w:tcPr>
          <w:p w14:paraId="2237ECBC" w14:textId="77777777" w:rsidR="00A0360E" w:rsidRDefault="00000000">
            <w:pPr>
              <w:keepNext/>
              <w:keepLines/>
              <w:spacing w:after="0" w:line="240" w:lineRule="auto"/>
              <w:jc w:val="right"/>
            </w:pPr>
            <w:r>
              <w:rPr>
                <w:sz w:val="18"/>
              </w:rPr>
              <w:t>-</w:t>
            </w:r>
          </w:p>
        </w:tc>
      </w:tr>
      <w:tr w:rsidR="00A0360E" w14:paraId="5BD3DF46" w14:textId="77777777">
        <w:tblPrEx>
          <w:tblCellMar>
            <w:top w:w="0" w:type="dxa"/>
            <w:bottom w:w="0" w:type="dxa"/>
          </w:tblCellMar>
        </w:tblPrEx>
        <w:trPr>
          <w:cantSplit/>
          <w:trHeight w:val="560"/>
        </w:trPr>
        <w:tc>
          <w:tcPr>
            <w:tcW w:w="700" w:type="dxa"/>
            <w:tcMar>
              <w:top w:w="0" w:type="dxa"/>
              <w:bottom w:w="0" w:type="dxa"/>
            </w:tcMar>
            <w:vAlign w:val="center"/>
          </w:tcPr>
          <w:p w14:paraId="49B13984" w14:textId="77777777" w:rsidR="00A0360E" w:rsidRDefault="00000000">
            <w:pPr>
              <w:keepNext/>
              <w:keepLines/>
              <w:spacing w:after="0" w:line="240" w:lineRule="auto"/>
            </w:pPr>
            <w:r>
              <w:rPr>
                <w:sz w:val="18"/>
              </w:rPr>
              <w:t>5</w:t>
            </w:r>
          </w:p>
        </w:tc>
        <w:tc>
          <w:tcPr>
            <w:tcW w:w="3180" w:type="dxa"/>
            <w:tcMar>
              <w:top w:w="0" w:type="dxa"/>
              <w:bottom w:w="0" w:type="dxa"/>
            </w:tcMar>
            <w:vAlign w:val="center"/>
          </w:tcPr>
          <w:p w14:paraId="2EF86C26" w14:textId="77777777" w:rsidR="00A0360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B59B690" w14:textId="77777777" w:rsidR="00A0360E" w:rsidRDefault="00000000">
            <w:pPr>
              <w:keepNext/>
              <w:keepLines/>
              <w:spacing w:after="0" w:line="240" w:lineRule="auto"/>
            </w:pPr>
            <w:r>
              <w:rPr>
                <w:sz w:val="18"/>
              </w:rPr>
              <w:t>5</w:t>
            </w:r>
          </w:p>
        </w:tc>
        <w:tc>
          <w:tcPr>
            <w:tcW w:w="1860" w:type="dxa"/>
            <w:tcMar>
              <w:top w:w="0" w:type="dxa"/>
              <w:bottom w:w="0" w:type="dxa"/>
            </w:tcMar>
            <w:vAlign w:val="center"/>
          </w:tcPr>
          <w:p w14:paraId="0BBD741A"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7E1BCF5A" w14:textId="77777777" w:rsidR="00A0360E" w:rsidRDefault="00000000">
            <w:pPr>
              <w:keepNext/>
              <w:keepLines/>
              <w:spacing w:after="0" w:line="240" w:lineRule="auto"/>
              <w:jc w:val="right"/>
            </w:pPr>
            <w:r>
              <w:rPr>
                <w:sz w:val="18"/>
              </w:rPr>
              <w:t>0,00</w:t>
            </w:r>
          </w:p>
        </w:tc>
        <w:tc>
          <w:tcPr>
            <w:tcW w:w="700" w:type="dxa"/>
            <w:tcMar>
              <w:top w:w="0" w:type="dxa"/>
              <w:bottom w:w="0" w:type="dxa"/>
            </w:tcMar>
            <w:vAlign w:val="center"/>
          </w:tcPr>
          <w:p w14:paraId="0BEE9B98" w14:textId="77777777" w:rsidR="00A0360E" w:rsidRDefault="00000000">
            <w:pPr>
              <w:keepNext/>
              <w:keepLines/>
              <w:spacing w:after="0" w:line="240" w:lineRule="auto"/>
              <w:jc w:val="right"/>
            </w:pPr>
            <w:r>
              <w:rPr>
                <w:sz w:val="18"/>
              </w:rPr>
              <w:t>-</w:t>
            </w:r>
          </w:p>
        </w:tc>
      </w:tr>
      <w:tr w:rsidR="00A0360E" w14:paraId="0A3047DE" w14:textId="77777777">
        <w:tblPrEx>
          <w:tblCellMar>
            <w:top w:w="0" w:type="dxa"/>
            <w:bottom w:w="0" w:type="dxa"/>
          </w:tblCellMar>
        </w:tblPrEx>
        <w:trPr>
          <w:cantSplit/>
          <w:trHeight w:val="560"/>
        </w:trPr>
        <w:tc>
          <w:tcPr>
            <w:tcW w:w="700" w:type="dxa"/>
            <w:tcMar>
              <w:top w:w="0" w:type="dxa"/>
              <w:bottom w:w="0" w:type="dxa"/>
            </w:tcMar>
            <w:vAlign w:val="center"/>
          </w:tcPr>
          <w:p w14:paraId="6A295E16" w14:textId="77777777" w:rsidR="00A0360E" w:rsidRDefault="00A0360E">
            <w:pPr>
              <w:keepNext/>
              <w:keepLines/>
              <w:spacing w:after="0" w:line="240" w:lineRule="auto"/>
            </w:pPr>
          </w:p>
        </w:tc>
        <w:tc>
          <w:tcPr>
            <w:tcW w:w="3180" w:type="dxa"/>
            <w:tcMar>
              <w:top w:w="0" w:type="dxa"/>
              <w:bottom w:w="0" w:type="dxa"/>
            </w:tcMar>
            <w:vAlign w:val="center"/>
          </w:tcPr>
          <w:p w14:paraId="500B7424" w14:textId="77777777" w:rsidR="00A0360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2737679" w14:textId="77777777" w:rsidR="00A0360E" w:rsidRDefault="00000000">
            <w:pPr>
              <w:keepNext/>
              <w:keepLines/>
              <w:spacing w:after="0" w:line="240" w:lineRule="auto"/>
            </w:pPr>
            <w:r>
              <w:rPr>
                <w:b/>
                <w:sz w:val="18"/>
              </w:rPr>
              <w:t>X003, Y003</w:t>
            </w:r>
          </w:p>
        </w:tc>
        <w:tc>
          <w:tcPr>
            <w:tcW w:w="1860" w:type="dxa"/>
            <w:tcMar>
              <w:top w:w="0" w:type="dxa"/>
              <w:bottom w:w="0" w:type="dxa"/>
            </w:tcMar>
            <w:vAlign w:val="center"/>
          </w:tcPr>
          <w:p w14:paraId="0294E14B" w14:textId="77777777" w:rsidR="00A0360E" w:rsidRDefault="00000000">
            <w:pPr>
              <w:keepNext/>
              <w:keepLines/>
              <w:spacing w:after="0" w:line="240" w:lineRule="auto"/>
              <w:jc w:val="right"/>
            </w:pPr>
            <w:r>
              <w:rPr>
                <w:b/>
                <w:sz w:val="18"/>
              </w:rPr>
              <w:t>0,00</w:t>
            </w:r>
          </w:p>
        </w:tc>
        <w:tc>
          <w:tcPr>
            <w:tcW w:w="1860" w:type="dxa"/>
            <w:tcMar>
              <w:top w:w="0" w:type="dxa"/>
              <w:bottom w:w="0" w:type="dxa"/>
            </w:tcMar>
            <w:vAlign w:val="center"/>
          </w:tcPr>
          <w:p w14:paraId="2493ABDA" w14:textId="77777777" w:rsidR="00A0360E" w:rsidRDefault="00000000">
            <w:pPr>
              <w:keepNext/>
              <w:keepLines/>
              <w:spacing w:after="0" w:line="240" w:lineRule="auto"/>
              <w:jc w:val="right"/>
            </w:pPr>
            <w:r>
              <w:rPr>
                <w:b/>
                <w:sz w:val="18"/>
              </w:rPr>
              <w:t>0,00</w:t>
            </w:r>
          </w:p>
        </w:tc>
        <w:tc>
          <w:tcPr>
            <w:tcW w:w="700" w:type="dxa"/>
            <w:tcMar>
              <w:top w:w="0" w:type="dxa"/>
              <w:bottom w:w="0" w:type="dxa"/>
            </w:tcMar>
            <w:vAlign w:val="center"/>
          </w:tcPr>
          <w:p w14:paraId="5034871D" w14:textId="77777777" w:rsidR="00A0360E" w:rsidRDefault="00000000">
            <w:pPr>
              <w:keepNext/>
              <w:keepLines/>
              <w:spacing w:after="0" w:line="240" w:lineRule="auto"/>
              <w:jc w:val="right"/>
            </w:pPr>
            <w:r>
              <w:rPr>
                <w:b/>
                <w:sz w:val="18"/>
              </w:rPr>
              <w:t>-</w:t>
            </w:r>
          </w:p>
        </w:tc>
      </w:tr>
      <w:tr w:rsidR="00A0360E" w14:paraId="39558F16" w14:textId="77777777">
        <w:tblPrEx>
          <w:tblCellMar>
            <w:top w:w="0" w:type="dxa"/>
            <w:bottom w:w="0" w:type="dxa"/>
          </w:tblCellMar>
        </w:tblPrEx>
        <w:trPr>
          <w:cantSplit/>
          <w:trHeight w:val="560"/>
        </w:trPr>
        <w:tc>
          <w:tcPr>
            <w:tcW w:w="700" w:type="dxa"/>
            <w:tcMar>
              <w:top w:w="0" w:type="dxa"/>
              <w:bottom w:w="0" w:type="dxa"/>
            </w:tcMar>
            <w:vAlign w:val="center"/>
          </w:tcPr>
          <w:p w14:paraId="7941CB70" w14:textId="77777777" w:rsidR="00A0360E" w:rsidRDefault="00A0360E">
            <w:pPr>
              <w:keepNext/>
              <w:keepLines/>
              <w:spacing w:after="0" w:line="240" w:lineRule="auto"/>
            </w:pPr>
          </w:p>
        </w:tc>
        <w:tc>
          <w:tcPr>
            <w:tcW w:w="3180" w:type="dxa"/>
            <w:tcMar>
              <w:top w:w="0" w:type="dxa"/>
              <w:bottom w:w="0" w:type="dxa"/>
            </w:tcMar>
            <w:vAlign w:val="center"/>
          </w:tcPr>
          <w:p w14:paraId="6C2685F0" w14:textId="77777777" w:rsidR="00A0360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CED4AF1" w14:textId="77777777" w:rsidR="00A0360E" w:rsidRDefault="00000000">
            <w:pPr>
              <w:keepNext/>
              <w:keepLines/>
              <w:spacing w:after="0" w:line="240" w:lineRule="auto"/>
            </w:pPr>
            <w:r>
              <w:rPr>
                <w:b/>
                <w:sz w:val="18"/>
              </w:rPr>
              <w:t>Y005</w:t>
            </w:r>
          </w:p>
        </w:tc>
        <w:tc>
          <w:tcPr>
            <w:tcW w:w="1860" w:type="dxa"/>
            <w:tcMar>
              <w:top w:w="0" w:type="dxa"/>
              <w:bottom w:w="0" w:type="dxa"/>
            </w:tcMar>
            <w:vAlign w:val="center"/>
          </w:tcPr>
          <w:p w14:paraId="5660B1AD" w14:textId="77777777" w:rsidR="00A0360E" w:rsidRDefault="00000000">
            <w:pPr>
              <w:keepNext/>
              <w:keepLines/>
              <w:spacing w:after="0" w:line="240" w:lineRule="auto"/>
              <w:jc w:val="right"/>
            </w:pPr>
            <w:r>
              <w:rPr>
                <w:b/>
                <w:sz w:val="18"/>
              </w:rPr>
              <w:t>58,76</w:t>
            </w:r>
          </w:p>
        </w:tc>
        <w:tc>
          <w:tcPr>
            <w:tcW w:w="1860" w:type="dxa"/>
            <w:tcMar>
              <w:top w:w="0" w:type="dxa"/>
              <w:bottom w:w="0" w:type="dxa"/>
            </w:tcMar>
            <w:vAlign w:val="center"/>
          </w:tcPr>
          <w:p w14:paraId="568D278B" w14:textId="77777777" w:rsidR="00A0360E" w:rsidRDefault="00000000">
            <w:pPr>
              <w:keepNext/>
              <w:keepLines/>
              <w:spacing w:after="0" w:line="240" w:lineRule="auto"/>
              <w:jc w:val="right"/>
            </w:pPr>
            <w:r>
              <w:rPr>
                <w:b/>
                <w:sz w:val="18"/>
              </w:rPr>
              <w:t>35.771,82</w:t>
            </w:r>
          </w:p>
        </w:tc>
        <w:tc>
          <w:tcPr>
            <w:tcW w:w="700" w:type="dxa"/>
            <w:tcMar>
              <w:top w:w="0" w:type="dxa"/>
              <w:bottom w:w="0" w:type="dxa"/>
            </w:tcMar>
            <w:vAlign w:val="center"/>
          </w:tcPr>
          <w:p w14:paraId="0032D658" w14:textId="77777777" w:rsidR="00A0360E" w:rsidRDefault="00000000">
            <w:pPr>
              <w:keepNext/>
              <w:keepLines/>
              <w:spacing w:after="0" w:line="240" w:lineRule="auto"/>
              <w:jc w:val="right"/>
            </w:pPr>
            <w:r>
              <w:rPr>
                <w:b/>
                <w:sz w:val="18"/>
              </w:rPr>
              <w:t>&gt;&gt;100</w:t>
            </w:r>
          </w:p>
        </w:tc>
      </w:tr>
    </w:tbl>
    <w:p w14:paraId="225F23C6" w14:textId="77777777" w:rsidR="00A0360E" w:rsidRDefault="00A0360E">
      <w:pPr>
        <w:spacing w:after="0"/>
      </w:pPr>
    </w:p>
    <w:p w14:paraId="36EC308E" w14:textId="77777777" w:rsidR="00A0360E" w:rsidRDefault="00000000">
      <w:r>
        <w:t xml:space="preserve">U razdoblju od 1. siječnja do 31. prosinca 2025. prihodi poslovanja ostvareni su u iznosu od 418.970,06 eura. Najznačajniji prihod se odnosi na prihode iz nadležnog proračuna u iznosu od 397.752,23 eura. Rashodi poslovanja u razdoblju od 1. siječnja do 31. prosinca 2025. ostvareni su u iznosu od 444.836,01 eura. Najznačajniji rashodi evidentirani su na rashodima za zaposlene. U navedenom razdoblju rashodi za nabavu nefinancijske imovine ostvareni su u </w:t>
      </w:r>
      <w:r>
        <w:lastRenderedPageBreak/>
        <w:t>iznosu od 9.905,87 eura, a odnose se na nabavu uredske opreme, računala i ostale opreme za izložbe. U promatranom razdoblju ostvaren je manjak prihoda poslovanja od 25.865,95 eura, manjak prihoda od nefinancijske imovine u iznosu od 9.905,87 eura, slijedom čega je na kraju izvještajnog razdoblja ostvaren manjak prihoda i primitaka u iznosu od 35.771,82 eura.</w:t>
      </w:r>
    </w:p>
    <w:p w14:paraId="1E0F9852" w14:textId="77777777" w:rsidR="00A0360E" w:rsidRDefault="00000000">
      <w:r>
        <w:br/>
      </w:r>
    </w:p>
    <w:p w14:paraId="5753485F" w14:textId="77777777" w:rsidR="00A0360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585D9B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C4266"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5C0D62"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A49A2"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67AE4F" w14:textId="77777777" w:rsidR="00A036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96DA3F" w14:textId="77777777" w:rsidR="00A036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3FA304" w14:textId="77777777" w:rsidR="00A0360E" w:rsidRDefault="00000000">
            <w:pPr>
              <w:keepNext/>
              <w:keepLines/>
              <w:spacing w:after="0" w:line="240" w:lineRule="auto"/>
              <w:jc w:val="center"/>
            </w:pPr>
            <w:r>
              <w:rPr>
                <w:b/>
                <w:sz w:val="18"/>
              </w:rPr>
              <w:t>Indeks (%)</w:t>
            </w:r>
          </w:p>
        </w:tc>
      </w:tr>
      <w:tr w:rsidR="00A0360E" w14:paraId="72C05063" w14:textId="77777777">
        <w:tblPrEx>
          <w:tblCellMar>
            <w:top w:w="0" w:type="dxa"/>
            <w:bottom w:w="0" w:type="dxa"/>
          </w:tblCellMar>
        </w:tblPrEx>
        <w:trPr>
          <w:cantSplit/>
          <w:trHeight w:val="560"/>
        </w:trPr>
        <w:tc>
          <w:tcPr>
            <w:tcW w:w="700" w:type="dxa"/>
            <w:tcMar>
              <w:top w:w="0" w:type="dxa"/>
              <w:bottom w:w="0" w:type="dxa"/>
            </w:tcMar>
            <w:vAlign w:val="center"/>
          </w:tcPr>
          <w:p w14:paraId="1A162B0B" w14:textId="77777777" w:rsidR="00A0360E" w:rsidRDefault="00000000">
            <w:pPr>
              <w:keepNext/>
              <w:keepLines/>
              <w:spacing w:after="0" w:line="240" w:lineRule="auto"/>
            </w:pPr>
            <w:r>
              <w:rPr>
                <w:sz w:val="18"/>
              </w:rPr>
              <w:t>6341</w:t>
            </w:r>
          </w:p>
        </w:tc>
        <w:tc>
          <w:tcPr>
            <w:tcW w:w="3180" w:type="dxa"/>
            <w:tcMar>
              <w:top w:w="0" w:type="dxa"/>
              <w:bottom w:w="0" w:type="dxa"/>
            </w:tcMar>
            <w:vAlign w:val="center"/>
          </w:tcPr>
          <w:p w14:paraId="5F7E12D8" w14:textId="77777777" w:rsidR="00A0360E"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02A5DE1C" w14:textId="77777777" w:rsidR="00A0360E" w:rsidRDefault="00000000">
            <w:pPr>
              <w:keepNext/>
              <w:keepLines/>
              <w:spacing w:after="0" w:line="240" w:lineRule="auto"/>
            </w:pPr>
            <w:r>
              <w:rPr>
                <w:sz w:val="18"/>
              </w:rPr>
              <w:t>6341</w:t>
            </w:r>
          </w:p>
        </w:tc>
        <w:tc>
          <w:tcPr>
            <w:tcW w:w="1860" w:type="dxa"/>
            <w:tcMar>
              <w:top w:w="0" w:type="dxa"/>
              <w:bottom w:w="0" w:type="dxa"/>
            </w:tcMar>
            <w:vAlign w:val="center"/>
          </w:tcPr>
          <w:p w14:paraId="30469264" w14:textId="77777777" w:rsidR="00A0360E" w:rsidRDefault="00000000">
            <w:pPr>
              <w:keepNext/>
              <w:keepLines/>
              <w:spacing w:after="0" w:line="240" w:lineRule="auto"/>
              <w:jc w:val="right"/>
            </w:pPr>
            <w:r>
              <w:rPr>
                <w:sz w:val="18"/>
              </w:rPr>
              <w:t>5.991,60</w:t>
            </w:r>
          </w:p>
        </w:tc>
        <w:tc>
          <w:tcPr>
            <w:tcW w:w="1860" w:type="dxa"/>
            <w:tcMar>
              <w:top w:w="0" w:type="dxa"/>
              <w:bottom w:w="0" w:type="dxa"/>
            </w:tcMar>
            <w:vAlign w:val="center"/>
          </w:tcPr>
          <w:p w14:paraId="1E6AE558" w14:textId="77777777" w:rsidR="00A0360E" w:rsidRDefault="00000000">
            <w:pPr>
              <w:keepNext/>
              <w:keepLines/>
              <w:spacing w:after="0" w:line="240" w:lineRule="auto"/>
              <w:jc w:val="right"/>
            </w:pPr>
            <w:r>
              <w:rPr>
                <w:sz w:val="18"/>
              </w:rPr>
              <w:t>6.936,20</w:t>
            </w:r>
          </w:p>
        </w:tc>
        <w:tc>
          <w:tcPr>
            <w:tcW w:w="700" w:type="dxa"/>
            <w:tcMar>
              <w:top w:w="0" w:type="dxa"/>
              <w:bottom w:w="0" w:type="dxa"/>
            </w:tcMar>
            <w:vAlign w:val="center"/>
          </w:tcPr>
          <w:p w14:paraId="05ED1160" w14:textId="77777777" w:rsidR="00A0360E" w:rsidRDefault="00000000">
            <w:pPr>
              <w:keepNext/>
              <w:keepLines/>
              <w:spacing w:after="0" w:line="240" w:lineRule="auto"/>
              <w:jc w:val="right"/>
            </w:pPr>
            <w:r>
              <w:rPr>
                <w:sz w:val="18"/>
              </w:rPr>
              <w:t>115,8</w:t>
            </w:r>
          </w:p>
        </w:tc>
      </w:tr>
    </w:tbl>
    <w:p w14:paraId="56D8CEDD" w14:textId="77777777" w:rsidR="00A0360E" w:rsidRDefault="00A0360E">
      <w:pPr>
        <w:spacing w:after="0"/>
      </w:pPr>
    </w:p>
    <w:p w14:paraId="5684D983" w14:textId="77777777" w:rsidR="00A0360E" w:rsidRDefault="00000000">
      <w:proofErr w:type="spellStart"/>
      <w:r>
        <w:t>Teuće</w:t>
      </w:r>
      <w:proofErr w:type="spellEnd"/>
      <w:r>
        <w:t xml:space="preserve"> pomoći od izvanproračunskih korisnika u iznosu od 6.936,20 eura se odnose na tekuće pomoći od Hrvatskog zavoda za zapošljavanje za provođenje mjere aktivne politike zapošljavanja Posao+</w:t>
      </w:r>
    </w:p>
    <w:p w14:paraId="41995FA4" w14:textId="77777777" w:rsidR="00A0360E" w:rsidRDefault="00A0360E"/>
    <w:p w14:paraId="33F6E361" w14:textId="77777777" w:rsidR="00A0360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2BD402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7DE10C"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2F56E8"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260269"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74100" w14:textId="77777777" w:rsidR="00A036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C56216" w14:textId="77777777" w:rsidR="00A036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50AB9A" w14:textId="77777777" w:rsidR="00A0360E" w:rsidRDefault="00000000">
            <w:pPr>
              <w:keepNext/>
              <w:keepLines/>
              <w:spacing w:after="0" w:line="240" w:lineRule="auto"/>
              <w:jc w:val="center"/>
            </w:pPr>
            <w:r>
              <w:rPr>
                <w:b/>
                <w:sz w:val="18"/>
              </w:rPr>
              <w:t>Indeks (%)</w:t>
            </w:r>
          </w:p>
        </w:tc>
      </w:tr>
      <w:tr w:rsidR="00A0360E" w14:paraId="1C0372B5" w14:textId="77777777">
        <w:tblPrEx>
          <w:tblCellMar>
            <w:top w:w="0" w:type="dxa"/>
            <w:bottom w:w="0" w:type="dxa"/>
          </w:tblCellMar>
        </w:tblPrEx>
        <w:trPr>
          <w:cantSplit/>
          <w:trHeight w:val="560"/>
        </w:trPr>
        <w:tc>
          <w:tcPr>
            <w:tcW w:w="700" w:type="dxa"/>
            <w:tcMar>
              <w:top w:w="0" w:type="dxa"/>
              <w:bottom w:w="0" w:type="dxa"/>
            </w:tcMar>
            <w:vAlign w:val="center"/>
          </w:tcPr>
          <w:p w14:paraId="7F82BDA1" w14:textId="77777777" w:rsidR="00A0360E" w:rsidRDefault="00000000">
            <w:pPr>
              <w:keepNext/>
              <w:keepLines/>
              <w:spacing w:after="0" w:line="240" w:lineRule="auto"/>
            </w:pPr>
            <w:r>
              <w:rPr>
                <w:sz w:val="18"/>
              </w:rPr>
              <w:t>6615</w:t>
            </w:r>
          </w:p>
        </w:tc>
        <w:tc>
          <w:tcPr>
            <w:tcW w:w="3180" w:type="dxa"/>
            <w:tcMar>
              <w:top w:w="0" w:type="dxa"/>
              <w:bottom w:w="0" w:type="dxa"/>
            </w:tcMar>
            <w:vAlign w:val="center"/>
          </w:tcPr>
          <w:p w14:paraId="55B1CC03" w14:textId="77777777" w:rsidR="00A0360E"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20EC791E" w14:textId="77777777" w:rsidR="00A0360E" w:rsidRDefault="00000000">
            <w:pPr>
              <w:keepNext/>
              <w:keepLines/>
              <w:spacing w:after="0" w:line="240" w:lineRule="auto"/>
            </w:pPr>
            <w:r>
              <w:rPr>
                <w:sz w:val="18"/>
              </w:rPr>
              <w:t>6615</w:t>
            </w:r>
          </w:p>
        </w:tc>
        <w:tc>
          <w:tcPr>
            <w:tcW w:w="1860" w:type="dxa"/>
            <w:tcMar>
              <w:top w:w="0" w:type="dxa"/>
              <w:bottom w:w="0" w:type="dxa"/>
            </w:tcMar>
            <w:vAlign w:val="center"/>
          </w:tcPr>
          <w:p w14:paraId="2AEF2833"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33E5FE20" w14:textId="77777777" w:rsidR="00A0360E" w:rsidRDefault="00000000">
            <w:pPr>
              <w:keepNext/>
              <w:keepLines/>
              <w:spacing w:after="0" w:line="240" w:lineRule="auto"/>
              <w:jc w:val="right"/>
            </w:pPr>
            <w:r>
              <w:rPr>
                <w:sz w:val="18"/>
              </w:rPr>
              <w:t>7.991,14</w:t>
            </w:r>
          </w:p>
        </w:tc>
        <w:tc>
          <w:tcPr>
            <w:tcW w:w="700" w:type="dxa"/>
            <w:tcMar>
              <w:top w:w="0" w:type="dxa"/>
              <w:bottom w:w="0" w:type="dxa"/>
            </w:tcMar>
            <w:vAlign w:val="center"/>
          </w:tcPr>
          <w:p w14:paraId="1952E40C" w14:textId="77777777" w:rsidR="00A0360E" w:rsidRDefault="00000000">
            <w:pPr>
              <w:keepNext/>
              <w:keepLines/>
              <w:spacing w:after="0" w:line="240" w:lineRule="auto"/>
              <w:jc w:val="right"/>
            </w:pPr>
            <w:r>
              <w:rPr>
                <w:sz w:val="18"/>
              </w:rPr>
              <w:t>-</w:t>
            </w:r>
          </w:p>
        </w:tc>
      </w:tr>
    </w:tbl>
    <w:p w14:paraId="4B545522" w14:textId="77777777" w:rsidR="00A0360E" w:rsidRDefault="00A0360E">
      <w:pPr>
        <w:spacing w:after="0"/>
      </w:pPr>
    </w:p>
    <w:p w14:paraId="7D52C8D9" w14:textId="77777777" w:rsidR="00A0360E" w:rsidRDefault="00000000">
      <w:r>
        <w:t>Prihodi od pruženih usluga se odnose na naplaćene pružene usluge prema pravnim i fizičkim osobama za usluge arheološkog nadzora, edukativne radionice i prodaju publikacija.</w:t>
      </w:r>
    </w:p>
    <w:p w14:paraId="6BF02251" w14:textId="77777777" w:rsidR="00A0360E" w:rsidRDefault="00A0360E"/>
    <w:p w14:paraId="7661766F" w14:textId="77777777" w:rsidR="00A0360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5CCE55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0967A7"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DA37BA"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8AE0B"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599CD0" w14:textId="77777777" w:rsidR="00A036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E18F9C" w14:textId="77777777" w:rsidR="00A036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4F286B" w14:textId="77777777" w:rsidR="00A0360E" w:rsidRDefault="00000000">
            <w:pPr>
              <w:keepNext/>
              <w:keepLines/>
              <w:spacing w:after="0" w:line="240" w:lineRule="auto"/>
              <w:jc w:val="center"/>
            </w:pPr>
            <w:r>
              <w:rPr>
                <w:b/>
                <w:sz w:val="18"/>
              </w:rPr>
              <w:t>Indeks (%)</w:t>
            </w:r>
          </w:p>
        </w:tc>
      </w:tr>
      <w:tr w:rsidR="00A0360E" w14:paraId="6E1AE18E" w14:textId="77777777">
        <w:tblPrEx>
          <w:tblCellMar>
            <w:top w:w="0" w:type="dxa"/>
            <w:bottom w:w="0" w:type="dxa"/>
          </w:tblCellMar>
        </w:tblPrEx>
        <w:trPr>
          <w:cantSplit/>
          <w:trHeight w:val="560"/>
        </w:trPr>
        <w:tc>
          <w:tcPr>
            <w:tcW w:w="700" w:type="dxa"/>
            <w:tcMar>
              <w:top w:w="0" w:type="dxa"/>
              <w:bottom w:w="0" w:type="dxa"/>
            </w:tcMar>
            <w:vAlign w:val="center"/>
          </w:tcPr>
          <w:p w14:paraId="72A1DF29" w14:textId="77777777" w:rsidR="00A0360E" w:rsidRDefault="00000000">
            <w:pPr>
              <w:keepNext/>
              <w:keepLines/>
              <w:spacing w:after="0" w:line="240" w:lineRule="auto"/>
            </w:pPr>
            <w:r>
              <w:rPr>
                <w:sz w:val="18"/>
              </w:rPr>
              <w:t>31</w:t>
            </w:r>
          </w:p>
        </w:tc>
        <w:tc>
          <w:tcPr>
            <w:tcW w:w="3180" w:type="dxa"/>
            <w:tcMar>
              <w:top w:w="0" w:type="dxa"/>
              <w:bottom w:w="0" w:type="dxa"/>
            </w:tcMar>
            <w:vAlign w:val="center"/>
          </w:tcPr>
          <w:p w14:paraId="46FB295F" w14:textId="77777777" w:rsidR="00A0360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C6EF68F" w14:textId="77777777" w:rsidR="00A0360E" w:rsidRDefault="00000000">
            <w:pPr>
              <w:keepNext/>
              <w:keepLines/>
              <w:spacing w:after="0" w:line="240" w:lineRule="auto"/>
            </w:pPr>
            <w:r>
              <w:rPr>
                <w:sz w:val="18"/>
              </w:rPr>
              <w:t>31</w:t>
            </w:r>
          </w:p>
        </w:tc>
        <w:tc>
          <w:tcPr>
            <w:tcW w:w="1860" w:type="dxa"/>
            <w:tcMar>
              <w:top w:w="0" w:type="dxa"/>
              <w:bottom w:w="0" w:type="dxa"/>
            </w:tcMar>
            <w:vAlign w:val="center"/>
          </w:tcPr>
          <w:p w14:paraId="37F585A5" w14:textId="77777777" w:rsidR="00A0360E" w:rsidRDefault="00000000">
            <w:pPr>
              <w:keepNext/>
              <w:keepLines/>
              <w:spacing w:after="0" w:line="240" w:lineRule="auto"/>
              <w:jc w:val="right"/>
            </w:pPr>
            <w:r>
              <w:rPr>
                <w:sz w:val="18"/>
              </w:rPr>
              <w:t>165.644,40</w:t>
            </w:r>
          </w:p>
        </w:tc>
        <w:tc>
          <w:tcPr>
            <w:tcW w:w="1860" w:type="dxa"/>
            <w:tcMar>
              <w:top w:w="0" w:type="dxa"/>
              <w:bottom w:w="0" w:type="dxa"/>
            </w:tcMar>
            <w:vAlign w:val="center"/>
          </w:tcPr>
          <w:p w14:paraId="6114DF89" w14:textId="77777777" w:rsidR="00A0360E" w:rsidRDefault="00000000">
            <w:pPr>
              <w:keepNext/>
              <w:keepLines/>
              <w:spacing w:after="0" w:line="240" w:lineRule="auto"/>
              <w:jc w:val="right"/>
            </w:pPr>
            <w:r>
              <w:rPr>
                <w:sz w:val="18"/>
              </w:rPr>
              <w:t>282.958,54</w:t>
            </w:r>
          </w:p>
        </w:tc>
        <w:tc>
          <w:tcPr>
            <w:tcW w:w="700" w:type="dxa"/>
            <w:tcMar>
              <w:top w:w="0" w:type="dxa"/>
              <w:bottom w:w="0" w:type="dxa"/>
            </w:tcMar>
            <w:vAlign w:val="center"/>
          </w:tcPr>
          <w:p w14:paraId="78D06761" w14:textId="77777777" w:rsidR="00A0360E" w:rsidRDefault="00000000">
            <w:pPr>
              <w:keepNext/>
              <w:keepLines/>
              <w:spacing w:after="0" w:line="240" w:lineRule="auto"/>
              <w:jc w:val="right"/>
            </w:pPr>
            <w:r>
              <w:rPr>
                <w:sz w:val="18"/>
              </w:rPr>
              <w:t>170,8</w:t>
            </w:r>
          </w:p>
        </w:tc>
      </w:tr>
    </w:tbl>
    <w:p w14:paraId="184C0564" w14:textId="77777777" w:rsidR="00A0360E" w:rsidRDefault="00A0360E">
      <w:pPr>
        <w:spacing w:after="0"/>
      </w:pPr>
    </w:p>
    <w:p w14:paraId="37778A19" w14:textId="77777777" w:rsidR="00A0360E" w:rsidRDefault="00000000">
      <w:r>
        <w:t>Rashodi za zaposlene su za 70,8% veći u odnosu na prethodnu godinu zbog povećanja broja zaposlenih i povećanja osnovice za isplatu plaće.</w:t>
      </w:r>
    </w:p>
    <w:p w14:paraId="7FF9A078" w14:textId="77777777" w:rsidR="00A0360E" w:rsidRDefault="00A0360E"/>
    <w:p w14:paraId="268E0F0F" w14:textId="77777777" w:rsidR="00A0360E"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12D854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488D8"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628A82"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684E01"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855FB7" w14:textId="77777777" w:rsidR="00A036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5EA24" w14:textId="77777777" w:rsidR="00A036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E427D0" w14:textId="77777777" w:rsidR="00A0360E" w:rsidRDefault="00000000">
            <w:pPr>
              <w:keepNext/>
              <w:keepLines/>
              <w:spacing w:after="0" w:line="240" w:lineRule="auto"/>
              <w:jc w:val="center"/>
            </w:pPr>
            <w:r>
              <w:rPr>
                <w:b/>
                <w:sz w:val="18"/>
              </w:rPr>
              <w:t>Indeks (%)</w:t>
            </w:r>
          </w:p>
        </w:tc>
      </w:tr>
      <w:tr w:rsidR="00A0360E" w14:paraId="0794EA1A" w14:textId="77777777">
        <w:tblPrEx>
          <w:tblCellMar>
            <w:top w:w="0" w:type="dxa"/>
            <w:bottom w:w="0" w:type="dxa"/>
          </w:tblCellMar>
        </w:tblPrEx>
        <w:trPr>
          <w:cantSplit/>
          <w:trHeight w:val="560"/>
        </w:trPr>
        <w:tc>
          <w:tcPr>
            <w:tcW w:w="700" w:type="dxa"/>
            <w:tcMar>
              <w:top w:w="0" w:type="dxa"/>
              <w:bottom w:w="0" w:type="dxa"/>
            </w:tcMar>
            <w:vAlign w:val="center"/>
          </w:tcPr>
          <w:p w14:paraId="10297317" w14:textId="77777777" w:rsidR="00A0360E" w:rsidRDefault="00000000">
            <w:pPr>
              <w:keepNext/>
              <w:keepLines/>
              <w:spacing w:after="0" w:line="240" w:lineRule="auto"/>
            </w:pPr>
            <w:r>
              <w:rPr>
                <w:sz w:val="18"/>
              </w:rPr>
              <w:t>32</w:t>
            </w:r>
          </w:p>
        </w:tc>
        <w:tc>
          <w:tcPr>
            <w:tcW w:w="3180" w:type="dxa"/>
            <w:tcMar>
              <w:top w:w="0" w:type="dxa"/>
              <w:bottom w:w="0" w:type="dxa"/>
            </w:tcMar>
            <w:vAlign w:val="center"/>
          </w:tcPr>
          <w:p w14:paraId="21310423" w14:textId="77777777" w:rsidR="00A0360E"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07870D4" w14:textId="77777777" w:rsidR="00A0360E" w:rsidRDefault="00000000">
            <w:pPr>
              <w:keepNext/>
              <w:keepLines/>
              <w:spacing w:after="0" w:line="240" w:lineRule="auto"/>
            </w:pPr>
            <w:r>
              <w:rPr>
                <w:sz w:val="18"/>
              </w:rPr>
              <w:t>32</w:t>
            </w:r>
          </w:p>
        </w:tc>
        <w:tc>
          <w:tcPr>
            <w:tcW w:w="1860" w:type="dxa"/>
            <w:tcMar>
              <w:top w:w="0" w:type="dxa"/>
              <w:bottom w:w="0" w:type="dxa"/>
            </w:tcMar>
            <w:vAlign w:val="center"/>
          </w:tcPr>
          <w:p w14:paraId="578D651B" w14:textId="77777777" w:rsidR="00A0360E" w:rsidRDefault="00000000">
            <w:pPr>
              <w:keepNext/>
              <w:keepLines/>
              <w:spacing w:after="0" w:line="240" w:lineRule="auto"/>
              <w:jc w:val="right"/>
            </w:pPr>
            <w:r>
              <w:rPr>
                <w:sz w:val="18"/>
              </w:rPr>
              <w:t>106.396,02</w:t>
            </w:r>
          </w:p>
        </w:tc>
        <w:tc>
          <w:tcPr>
            <w:tcW w:w="1860" w:type="dxa"/>
            <w:tcMar>
              <w:top w:w="0" w:type="dxa"/>
              <w:bottom w:w="0" w:type="dxa"/>
            </w:tcMar>
            <w:vAlign w:val="center"/>
          </w:tcPr>
          <w:p w14:paraId="666CB2D2" w14:textId="77777777" w:rsidR="00A0360E" w:rsidRDefault="00000000">
            <w:pPr>
              <w:keepNext/>
              <w:keepLines/>
              <w:spacing w:after="0" w:line="240" w:lineRule="auto"/>
              <w:jc w:val="right"/>
            </w:pPr>
            <w:r>
              <w:rPr>
                <w:sz w:val="18"/>
              </w:rPr>
              <w:t>161.720,62</w:t>
            </w:r>
          </w:p>
        </w:tc>
        <w:tc>
          <w:tcPr>
            <w:tcW w:w="700" w:type="dxa"/>
            <w:tcMar>
              <w:top w:w="0" w:type="dxa"/>
              <w:bottom w:w="0" w:type="dxa"/>
            </w:tcMar>
            <w:vAlign w:val="center"/>
          </w:tcPr>
          <w:p w14:paraId="7314FF59" w14:textId="77777777" w:rsidR="00A0360E" w:rsidRDefault="00000000">
            <w:pPr>
              <w:keepNext/>
              <w:keepLines/>
              <w:spacing w:after="0" w:line="240" w:lineRule="auto"/>
              <w:jc w:val="right"/>
            </w:pPr>
            <w:r>
              <w:rPr>
                <w:sz w:val="18"/>
              </w:rPr>
              <w:t>152,0</w:t>
            </w:r>
          </w:p>
        </w:tc>
      </w:tr>
    </w:tbl>
    <w:p w14:paraId="76E5A928" w14:textId="77777777" w:rsidR="00A0360E" w:rsidRDefault="00A0360E">
      <w:pPr>
        <w:spacing w:after="0"/>
      </w:pPr>
    </w:p>
    <w:p w14:paraId="639748D5" w14:textId="77777777" w:rsidR="00A0360E" w:rsidRDefault="00000000">
      <w:r>
        <w:t>Materijalni rashodi bilježe povećanje od 52% u odnosu na prethodnu godinu zbog povećanog obima aktivnosti ustanove, te poslovnih aktivnosti i programa koje iziskuju i znatne materijalne troškove.</w:t>
      </w:r>
    </w:p>
    <w:p w14:paraId="3DD20366" w14:textId="77777777" w:rsidR="00A0360E" w:rsidRDefault="00A0360E"/>
    <w:p w14:paraId="3CD928BC" w14:textId="77777777" w:rsidR="00A0360E" w:rsidRDefault="00000000">
      <w:pPr>
        <w:keepNext/>
        <w:spacing w:line="240" w:lineRule="auto"/>
        <w:jc w:val="center"/>
      </w:pPr>
      <w:r>
        <w:rPr>
          <w:b/>
          <w:sz w:val="28"/>
        </w:rPr>
        <w:t>Bilanca</w:t>
      </w:r>
    </w:p>
    <w:p w14:paraId="71FC957A" w14:textId="77777777" w:rsidR="00A0360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008BE3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F59B8"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2186A4"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70E28"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6F76F" w14:textId="77777777" w:rsidR="00A0360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EF548A" w14:textId="77777777" w:rsidR="00A0360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8AE550" w14:textId="77777777" w:rsidR="00A0360E" w:rsidRDefault="00000000">
            <w:pPr>
              <w:keepNext/>
              <w:keepLines/>
              <w:spacing w:after="0" w:line="240" w:lineRule="auto"/>
              <w:jc w:val="center"/>
            </w:pPr>
            <w:r>
              <w:rPr>
                <w:b/>
                <w:sz w:val="18"/>
              </w:rPr>
              <w:t>Indeks (%)</w:t>
            </w:r>
          </w:p>
        </w:tc>
      </w:tr>
      <w:tr w:rsidR="00A0360E" w14:paraId="41007F96" w14:textId="77777777">
        <w:tblPrEx>
          <w:tblCellMar>
            <w:top w:w="0" w:type="dxa"/>
            <w:bottom w:w="0" w:type="dxa"/>
          </w:tblCellMar>
        </w:tblPrEx>
        <w:trPr>
          <w:cantSplit/>
          <w:trHeight w:val="560"/>
        </w:trPr>
        <w:tc>
          <w:tcPr>
            <w:tcW w:w="700" w:type="dxa"/>
            <w:tcMar>
              <w:top w:w="0" w:type="dxa"/>
              <w:bottom w:w="0" w:type="dxa"/>
            </w:tcMar>
            <w:vAlign w:val="center"/>
          </w:tcPr>
          <w:p w14:paraId="11B158CC" w14:textId="77777777" w:rsidR="00A0360E" w:rsidRDefault="00000000">
            <w:pPr>
              <w:keepNext/>
              <w:keepLines/>
              <w:spacing w:after="0" w:line="240" w:lineRule="auto"/>
            </w:pPr>
            <w:r>
              <w:rPr>
                <w:sz w:val="18"/>
              </w:rPr>
              <w:t>0</w:t>
            </w:r>
          </w:p>
        </w:tc>
        <w:tc>
          <w:tcPr>
            <w:tcW w:w="3180" w:type="dxa"/>
            <w:tcMar>
              <w:top w:w="0" w:type="dxa"/>
              <w:bottom w:w="0" w:type="dxa"/>
            </w:tcMar>
            <w:vAlign w:val="center"/>
          </w:tcPr>
          <w:p w14:paraId="5BA856D6" w14:textId="77777777" w:rsidR="00A0360E"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4183515" w14:textId="77777777" w:rsidR="00A0360E" w:rsidRDefault="00000000">
            <w:pPr>
              <w:keepNext/>
              <w:keepLines/>
              <w:spacing w:after="0" w:line="240" w:lineRule="auto"/>
            </w:pPr>
            <w:r>
              <w:rPr>
                <w:sz w:val="18"/>
              </w:rPr>
              <w:t>B002</w:t>
            </w:r>
          </w:p>
        </w:tc>
        <w:tc>
          <w:tcPr>
            <w:tcW w:w="1860" w:type="dxa"/>
            <w:tcMar>
              <w:top w:w="0" w:type="dxa"/>
              <w:bottom w:w="0" w:type="dxa"/>
            </w:tcMar>
            <w:vAlign w:val="center"/>
          </w:tcPr>
          <w:p w14:paraId="0FB946FD" w14:textId="77777777" w:rsidR="00A0360E" w:rsidRDefault="00000000">
            <w:pPr>
              <w:keepNext/>
              <w:keepLines/>
              <w:spacing w:after="0" w:line="240" w:lineRule="auto"/>
              <w:jc w:val="right"/>
            </w:pPr>
            <w:r>
              <w:rPr>
                <w:sz w:val="18"/>
              </w:rPr>
              <w:t>184.696,09</w:t>
            </w:r>
          </w:p>
        </w:tc>
        <w:tc>
          <w:tcPr>
            <w:tcW w:w="1860" w:type="dxa"/>
            <w:tcMar>
              <w:top w:w="0" w:type="dxa"/>
              <w:bottom w:w="0" w:type="dxa"/>
            </w:tcMar>
            <w:vAlign w:val="center"/>
          </w:tcPr>
          <w:p w14:paraId="51E52203" w14:textId="77777777" w:rsidR="00A0360E" w:rsidRDefault="00000000">
            <w:pPr>
              <w:keepNext/>
              <w:keepLines/>
              <w:spacing w:after="0" w:line="240" w:lineRule="auto"/>
              <w:jc w:val="right"/>
            </w:pPr>
            <w:r>
              <w:rPr>
                <w:sz w:val="18"/>
              </w:rPr>
              <w:t>153.002,63</w:t>
            </w:r>
          </w:p>
        </w:tc>
        <w:tc>
          <w:tcPr>
            <w:tcW w:w="700" w:type="dxa"/>
            <w:tcMar>
              <w:top w:w="0" w:type="dxa"/>
              <w:bottom w:w="0" w:type="dxa"/>
            </w:tcMar>
            <w:vAlign w:val="center"/>
          </w:tcPr>
          <w:p w14:paraId="5E56BF94" w14:textId="77777777" w:rsidR="00A0360E" w:rsidRDefault="00000000">
            <w:pPr>
              <w:keepNext/>
              <w:keepLines/>
              <w:spacing w:after="0" w:line="240" w:lineRule="auto"/>
              <w:jc w:val="right"/>
            </w:pPr>
            <w:r>
              <w:rPr>
                <w:sz w:val="18"/>
              </w:rPr>
              <w:t>82,8</w:t>
            </w:r>
          </w:p>
        </w:tc>
      </w:tr>
    </w:tbl>
    <w:p w14:paraId="4B2B69C5" w14:textId="77777777" w:rsidR="00A0360E" w:rsidRDefault="00A0360E">
      <w:pPr>
        <w:spacing w:after="0"/>
      </w:pPr>
    </w:p>
    <w:p w14:paraId="5B8580F5" w14:textId="77777777" w:rsidR="00A0360E" w:rsidRDefault="00000000">
      <w:proofErr w:type="spellStart"/>
      <w:r>
        <w:t>Nefinacijska</w:t>
      </w:r>
      <w:proofErr w:type="spellEnd"/>
      <w:r>
        <w:t xml:space="preserve"> imovina u iznosu od 153.002,63 eura odnosi se na povećanje vrijednost imovine nabavljene u 2025. godini u iznosu od 9.905,87 eura umanjene za propisane stope ispravka vrijednosti.</w:t>
      </w:r>
    </w:p>
    <w:p w14:paraId="2BB12167" w14:textId="77777777" w:rsidR="00A0360E" w:rsidRDefault="00A0360E"/>
    <w:p w14:paraId="455B438F" w14:textId="77777777" w:rsidR="00A0360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59E6FD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3BA84E"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B48CA1"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83E398"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BEEF4D" w14:textId="77777777" w:rsidR="00A0360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EF0F79" w14:textId="77777777" w:rsidR="00A0360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317F21" w14:textId="77777777" w:rsidR="00A0360E" w:rsidRDefault="00000000">
            <w:pPr>
              <w:keepNext/>
              <w:keepLines/>
              <w:spacing w:after="0" w:line="240" w:lineRule="auto"/>
              <w:jc w:val="center"/>
            </w:pPr>
            <w:r>
              <w:rPr>
                <w:b/>
                <w:sz w:val="18"/>
              </w:rPr>
              <w:t>Indeks (%)</w:t>
            </w:r>
          </w:p>
        </w:tc>
      </w:tr>
      <w:tr w:rsidR="00A0360E" w14:paraId="69B4EF92" w14:textId="77777777">
        <w:tblPrEx>
          <w:tblCellMar>
            <w:top w:w="0" w:type="dxa"/>
            <w:bottom w:w="0" w:type="dxa"/>
          </w:tblCellMar>
        </w:tblPrEx>
        <w:trPr>
          <w:cantSplit/>
          <w:trHeight w:val="560"/>
        </w:trPr>
        <w:tc>
          <w:tcPr>
            <w:tcW w:w="700" w:type="dxa"/>
            <w:tcMar>
              <w:top w:w="0" w:type="dxa"/>
              <w:bottom w:w="0" w:type="dxa"/>
            </w:tcMar>
            <w:vAlign w:val="center"/>
          </w:tcPr>
          <w:p w14:paraId="0D9E3316" w14:textId="77777777" w:rsidR="00A0360E" w:rsidRDefault="00000000">
            <w:pPr>
              <w:keepNext/>
              <w:keepLines/>
              <w:spacing w:after="0" w:line="240" w:lineRule="auto"/>
            </w:pPr>
            <w:r>
              <w:rPr>
                <w:sz w:val="18"/>
              </w:rPr>
              <w:t>052</w:t>
            </w:r>
          </w:p>
        </w:tc>
        <w:tc>
          <w:tcPr>
            <w:tcW w:w="3180" w:type="dxa"/>
            <w:tcMar>
              <w:top w:w="0" w:type="dxa"/>
              <w:bottom w:w="0" w:type="dxa"/>
            </w:tcMar>
            <w:vAlign w:val="center"/>
          </w:tcPr>
          <w:p w14:paraId="091A7BAF" w14:textId="77777777" w:rsidR="00A0360E" w:rsidRDefault="00000000">
            <w:pPr>
              <w:keepNext/>
              <w:keepLines/>
              <w:spacing w:after="0" w:line="240" w:lineRule="auto"/>
            </w:pPr>
            <w:r>
              <w:rPr>
                <w:sz w:val="18"/>
              </w:rPr>
              <w:t>Postrojenja i oprema u pripremi</w:t>
            </w:r>
          </w:p>
        </w:tc>
        <w:tc>
          <w:tcPr>
            <w:tcW w:w="700" w:type="dxa"/>
            <w:tcMar>
              <w:top w:w="0" w:type="dxa"/>
              <w:bottom w:w="0" w:type="dxa"/>
            </w:tcMar>
            <w:vAlign w:val="center"/>
          </w:tcPr>
          <w:p w14:paraId="58078DE3" w14:textId="77777777" w:rsidR="00A0360E" w:rsidRDefault="00000000">
            <w:pPr>
              <w:keepNext/>
              <w:keepLines/>
              <w:spacing w:after="0" w:line="240" w:lineRule="auto"/>
            </w:pPr>
            <w:r>
              <w:rPr>
                <w:sz w:val="18"/>
              </w:rPr>
              <w:t>052</w:t>
            </w:r>
          </w:p>
        </w:tc>
        <w:tc>
          <w:tcPr>
            <w:tcW w:w="1860" w:type="dxa"/>
            <w:tcMar>
              <w:top w:w="0" w:type="dxa"/>
              <w:bottom w:w="0" w:type="dxa"/>
            </w:tcMar>
            <w:vAlign w:val="center"/>
          </w:tcPr>
          <w:p w14:paraId="34DB28D7" w14:textId="77777777" w:rsidR="00A0360E" w:rsidRDefault="00000000">
            <w:pPr>
              <w:keepNext/>
              <w:keepLines/>
              <w:spacing w:after="0" w:line="240" w:lineRule="auto"/>
              <w:jc w:val="right"/>
            </w:pPr>
            <w:r>
              <w:rPr>
                <w:sz w:val="18"/>
              </w:rPr>
              <w:t>936,78</w:t>
            </w:r>
          </w:p>
        </w:tc>
        <w:tc>
          <w:tcPr>
            <w:tcW w:w="1860" w:type="dxa"/>
            <w:tcMar>
              <w:top w:w="0" w:type="dxa"/>
              <w:bottom w:w="0" w:type="dxa"/>
            </w:tcMar>
            <w:vAlign w:val="center"/>
          </w:tcPr>
          <w:p w14:paraId="56BA7EBF" w14:textId="77777777" w:rsidR="00A0360E" w:rsidRDefault="00000000">
            <w:pPr>
              <w:keepNext/>
              <w:keepLines/>
              <w:spacing w:after="0" w:line="240" w:lineRule="auto"/>
              <w:jc w:val="right"/>
            </w:pPr>
            <w:r>
              <w:rPr>
                <w:sz w:val="18"/>
              </w:rPr>
              <w:t>0,00</w:t>
            </w:r>
          </w:p>
        </w:tc>
        <w:tc>
          <w:tcPr>
            <w:tcW w:w="700" w:type="dxa"/>
            <w:tcMar>
              <w:top w:w="0" w:type="dxa"/>
              <w:bottom w:w="0" w:type="dxa"/>
            </w:tcMar>
            <w:vAlign w:val="center"/>
          </w:tcPr>
          <w:p w14:paraId="4B9D3988" w14:textId="77777777" w:rsidR="00A0360E" w:rsidRDefault="00000000">
            <w:pPr>
              <w:keepNext/>
              <w:keepLines/>
              <w:spacing w:after="0" w:line="240" w:lineRule="auto"/>
              <w:jc w:val="right"/>
            </w:pPr>
            <w:r>
              <w:rPr>
                <w:sz w:val="18"/>
              </w:rPr>
              <w:t>0</w:t>
            </w:r>
          </w:p>
        </w:tc>
      </w:tr>
    </w:tbl>
    <w:p w14:paraId="5D5793B9" w14:textId="77777777" w:rsidR="00A0360E" w:rsidRDefault="00A0360E">
      <w:pPr>
        <w:spacing w:after="0"/>
      </w:pPr>
    </w:p>
    <w:p w14:paraId="03CAF854" w14:textId="77777777" w:rsidR="00A0360E" w:rsidRDefault="00000000">
      <w:r>
        <w:t>Stanje imovine u pripremi na 31.12.2025. godine je manje za 936,78 eura iz razloga što je u tijeku 2025. godine imovina prenijeta u upotrebu na konto 022730.</w:t>
      </w:r>
    </w:p>
    <w:p w14:paraId="1CA55302" w14:textId="77777777" w:rsidR="00A0360E" w:rsidRDefault="00A0360E"/>
    <w:p w14:paraId="0D6E38D0" w14:textId="77777777" w:rsidR="00A0360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240301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6492B"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1ED02"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E3F43"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DEFDD" w14:textId="77777777" w:rsidR="00A0360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57DB50" w14:textId="77777777" w:rsidR="00A0360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85405D" w14:textId="77777777" w:rsidR="00A0360E" w:rsidRDefault="00000000">
            <w:pPr>
              <w:keepNext/>
              <w:keepLines/>
              <w:spacing w:after="0" w:line="240" w:lineRule="auto"/>
              <w:jc w:val="center"/>
            </w:pPr>
            <w:r>
              <w:rPr>
                <w:b/>
                <w:sz w:val="18"/>
              </w:rPr>
              <w:t>Indeks (%)</w:t>
            </w:r>
          </w:p>
        </w:tc>
      </w:tr>
      <w:tr w:rsidR="00A0360E" w14:paraId="3CFC27B8" w14:textId="77777777">
        <w:tblPrEx>
          <w:tblCellMar>
            <w:top w:w="0" w:type="dxa"/>
            <w:bottom w:w="0" w:type="dxa"/>
          </w:tblCellMar>
        </w:tblPrEx>
        <w:trPr>
          <w:cantSplit/>
          <w:trHeight w:val="560"/>
        </w:trPr>
        <w:tc>
          <w:tcPr>
            <w:tcW w:w="700" w:type="dxa"/>
            <w:tcMar>
              <w:top w:w="0" w:type="dxa"/>
              <w:bottom w:w="0" w:type="dxa"/>
            </w:tcMar>
            <w:vAlign w:val="center"/>
          </w:tcPr>
          <w:p w14:paraId="2258ED69" w14:textId="77777777" w:rsidR="00A0360E" w:rsidRDefault="00000000">
            <w:pPr>
              <w:keepNext/>
              <w:keepLines/>
              <w:spacing w:after="0" w:line="240" w:lineRule="auto"/>
            </w:pPr>
            <w:r>
              <w:rPr>
                <w:sz w:val="18"/>
              </w:rPr>
              <w:t>124</w:t>
            </w:r>
          </w:p>
        </w:tc>
        <w:tc>
          <w:tcPr>
            <w:tcW w:w="3180" w:type="dxa"/>
            <w:tcMar>
              <w:top w:w="0" w:type="dxa"/>
              <w:bottom w:w="0" w:type="dxa"/>
            </w:tcMar>
            <w:vAlign w:val="center"/>
          </w:tcPr>
          <w:p w14:paraId="4898A2B2" w14:textId="77777777" w:rsidR="00A0360E" w:rsidRDefault="00000000">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22A6606E" w14:textId="77777777" w:rsidR="00A0360E" w:rsidRDefault="00000000">
            <w:pPr>
              <w:keepNext/>
              <w:keepLines/>
              <w:spacing w:after="0" w:line="240" w:lineRule="auto"/>
            </w:pPr>
            <w:r>
              <w:rPr>
                <w:sz w:val="18"/>
              </w:rPr>
              <w:t>124</w:t>
            </w:r>
          </w:p>
        </w:tc>
        <w:tc>
          <w:tcPr>
            <w:tcW w:w="1860" w:type="dxa"/>
            <w:tcMar>
              <w:top w:w="0" w:type="dxa"/>
              <w:bottom w:w="0" w:type="dxa"/>
            </w:tcMar>
            <w:vAlign w:val="center"/>
          </w:tcPr>
          <w:p w14:paraId="63CE26AA"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76AE2544" w14:textId="77777777" w:rsidR="00A0360E" w:rsidRDefault="00000000">
            <w:pPr>
              <w:keepNext/>
              <w:keepLines/>
              <w:spacing w:after="0" w:line="240" w:lineRule="auto"/>
              <w:jc w:val="right"/>
            </w:pPr>
            <w:r>
              <w:rPr>
                <w:sz w:val="18"/>
              </w:rPr>
              <w:t>145,82</w:t>
            </w:r>
          </w:p>
        </w:tc>
        <w:tc>
          <w:tcPr>
            <w:tcW w:w="700" w:type="dxa"/>
            <w:tcMar>
              <w:top w:w="0" w:type="dxa"/>
              <w:bottom w:w="0" w:type="dxa"/>
            </w:tcMar>
            <w:vAlign w:val="center"/>
          </w:tcPr>
          <w:p w14:paraId="11D895EC" w14:textId="77777777" w:rsidR="00A0360E" w:rsidRDefault="00000000">
            <w:pPr>
              <w:keepNext/>
              <w:keepLines/>
              <w:spacing w:after="0" w:line="240" w:lineRule="auto"/>
              <w:jc w:val="right"/>
            </w:pPr>
            <w:r>
              <w:rPr>
                <w:sz w:val="18"/>
              </w:rPr>
              <w:t>-</w:t>
            </w:r>
          </w:p>
        </w:tc>
      </w:tr>
    </w:tbl>
    <w:p w14:paraId="308CA565" w14:textId="77777777" w:rsidR="00A0360E" w:rsidRDefault="00A0360E">
      <w:pPr>
        <w:spacing w:after="0"/>
      </w:pPr>
    </w:p>
    <w:p w14:paraId="1EB1EE95" w14:textId="77777777" w:rsidR="00A0360E" w:rsidRDefault="00000000">
      <w:r>
        <w:t>Navedeno se odnosi na potraživanje prema Poreznoj upravi po godišnjem obračunu poreza. </w:t>
      </w:r>
    </w:p>
    <w:p w14:paraId="2B1A8A45" w14:textId="77777777" w:rsidR="00A0360E" w:rsidRDefault="00A0360E"/>
    <w:p w14:paraId="34373F20" w14:textId="77777777" w:rsidR="00A0360E"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68E53E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D8218"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F4B9E5"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8C6499"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C3CB1" w14:textId="77777777" w:rsidR="00A0360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B1167C" w14:textId="77777777" w:rsidR="00A0360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B87820" w14:textId="77777777" w:rsidR="00A0360E" w:rsidRDefault="00000000">
            <w:pPr>
              <w:keepNext/>
              <w:keepLines/>
              <w:spacing w:after="0" w:line="240" w:lineRule="auto"/>
              <w:jc w:val="center"/>
            </w:pPr>
            <w:r>
              <w:rPr>
                <w:b/>
                <w:sz w:val="18"/>
              </w:rPr>
              <w:t>Indeks (%)</w:t>
            </w:r>
          </w:p>
        </w:tc>
      </w:tr>
      <w:tr w:rsidR="00A0360E" w14:paraId="329683AD" w14:textId="77777777">
        <w:tblPrEx>
          <w:tblCellMar>
            <w:top w:w="0" w:type="dxa"/>
            <w:bottom w:w="0" w:type="dxa"/>
          </w:tblCellMar>
        </w:tblPrEx>
        <w:trPr>
          <w:cantSplit/>
          <w:trHeight w:val="560"/>
        </w:trPr>
        <w:tc>
          <w:tcPr>
            <w:tcW w:w="700" w:type="dxa"/>
            <w:tcMar>
              <w:top w:w="0" w:type="dxa"/>
              <w:bottom w:w="0" w:type="dxa"/>
            </w:tcMar>
            <w:vAlign w:val="center"/>
          </w:tcPr>
          <w:p w14:paraId="3DA78D93" w14:textId="77777777" w:rsidR="00A0360E" w:rsidRDefault="00000000">
            <w:pPr>
              <w:keepNext/>
              <w:keepLines/>
              <w:spacing w:after="0" w:line="240" w:lineRule="auto"/>
            </w:pPr>
            <w:r>
              <w:rPr>
                <w:sz w:val="18"/>
              </w:rPr>
              <w:t>129</w:t>
            </w:r>
          </w:p>
        </w:tc>
        <w:tc>
          <w:tcPr>
            <w:tcW w:w="3180" w:type="dxa"/>
            <w:tcMar>
              <w:top w:w="0" w:type="dxa"/>
              <w:bottom w:w="0" w:type="dxa"/>
            </w:tcMar>
            <w:vAlign w:val="center"/>
          </w:tcPr>
          <w:p w14:paraId="5FEF1C56" w14:textId="77777777" w:rsidR="00A0360E" w:rsidRDefault="00000000">
            <w:pPr>
              <w:keepNext/>
              <w:keepLines/>
              <w:spacing w:after="0" w:line="240" w:lineRule="auto"/>
            </w:pPr>
            <w:r>
              <w:rPr>
                <w:sz w:val="18"/>
              </w:rPr>
              <w:t>Ostala potraživanja</w:t>
            </w:r>
          </w:p>
        </w:tc>
        <w:tc>
          <w:tcPr>
            <w:tcW w:w="700" w:type="dxa"/>
            <w:tcMar>
              <w:top w:w="0" w:type="dxa"/>
              <w:bottom w:w="0" w:type="dxa"/>
            </w:tcMar>
            <w:vAlign w:val="center"/>
          </w:tcPr>
          <w:p w14:paraId="731F0A92" w14:textId="77777777" w:rsidR="00A0360E" w:rsidRDefault="00000000">
            <w:pPr>
              <w:keepNext/>
              <w:keepLines/>
              <w:spacing w:after="0" w:line="240" w:lineRule="auto"/>
            </w:pPr>
            <w:r>
              <w:rPr>
                <w:sz w:val="18"/>
              </w:rPr>
              <w:t>129</w:t>
            </w:r>
          </w:p>
        </w:tc>
        <w:tc>
          <w:tcPr>
            <w:tcW w:w="1860" w:type="dxa"/>
            <w:tcMar>
              <w:top w:w="0" w:type="dxa"/>
              <w:bottom w:w="0" w:type="dxa"/>
            </w:tcMar>
            <w:vAlign w:val="center"/>
          </w:tcPr>
          <w:p w14:paraId="08E5827F" w14:textId="77777777" w:rsidR="00A0360E" w:rsidRDefault="00000000">
            <w:pPr>
              <w:keepNext/>
              <w:keepLines/>
              <w:spacing w:after="0" w:line="240" w:lineRule="auto"/>
              <w:jc w:val="right"/>
            </w:pPr>
            <w:r>
              <w:rPr>
                <w:sz w:val="18"/>
              </w:rPr>
              <w:t>1.203,98</w:t>
            </w:r>
          </w:p>
        </w:tc>
        <w:tc>
          <w:tcPr>
            <w:tcW w:w="1860" w:type="dxa"/>
            <w:tcMar>
              <w:top w:w="0" w:type="dxa"/>
              <w:bottom w:w="0" w:type="dxa"/>
            </w:tcMar>
            <w:vAlign w:val="center"/>
          </w:tcPr>
          <w:p w14:paraId="67CBF490" w14:textId="77777777" w:rsidR="00A0360E" w:rsidRDefault="00000000">
            <w:pPr>
              <w:keepNext/>
              <w:keepLines/>
              <w:spacing w:after="0" w:line="240" w:lineRule="auto"/>
              <w:jc w:val="right"/>
            </w:pPr>
            <w:r>
              <w:rPr>
                <w:sz w:val="18"/>
              </w:rPr>
              <w:t>2.890,95</w:t>
            </w:r>
          </w:p>
        </w:tc>
        <w:tc>
          <w:tcPr>
            <w:tcW w:w="700" w:type="dxa"/>
            <w:tcMar>
              <w:top w:w="0" w:type="dxa"/>
              <w:bottom w:w="0" w:type="dxa"/>
            </w:tcMar>
            <w:vAlign w:val="center"/>
          </w:tcPr>
          <w:p w14:paraId="16721B85" w14:textId="77777777" w:rsidR="00A0360E" w:rsidRDefault="00000000">
            <w:pPr>
              <w:keepNext/>
              <w:keepLines/>
              <w:spacing w:after="0" w:line="240" w:lineRule="auto"/>
              <w:jc w:val="right"/>
            </w:pPr>
            <w:r>
              <w:rPr>
                <w:sz w:val="18"/>
              </w:rPr>
              <w:t>240,1</w:t>
            </w:r>
          </w:p>
        </w:tc>
      </w:tr>
    </w:tbl>
    <w:p w14:paraId="53464CD4" w14:textId="77777777" w:rsidR="00A0360E" w:rsidRDefault="00A0360E">
      <w:pPr>
        <w:spacing w:after="0"/>
      </w:pPr>
    </w:p>
    <w:p w14:paraId="4AFE37B5" w14:textId="77777777" w:rsidR="00A0360E" w:rsidRDefault="00000000">
      <w:r>
        <w:t xml:space="preserve">Ostala potraživanja u iznosu od 2.890,95 eura odnose se na </w:t>
      </w:r>
      <w:proofErr w:type="spellStart"/>
      <w:r>
        <w:t>potrživanja</w:t>
      </w:r>
      <w:proofErr w:type="spellEnd"/>
      <w:r>
        <w:t xml:space="preserve"> za refundaciju bolovanja prema HZZO u iznosu od 811,69 eura i ostala nespomenuta potraživanja prema Srednjoj školi </w:t>
      </w:r>
      <w:proofErr w:type="spellStart"/>
      <w:r>
        <w:t>Viktorovac</w:t>
      </w:r>
      <w:proofErr w:type="spellEnd"/>
      <w:r>
        <w:t xml:space="preserve"> i Sisačko moslavačkoj </w:t>
      </w:r>
      <w:proofErr w:type="spellStart"/>
      <w:r>
        <w:t>županij</w:t>
      </w:r>
      <w:proofErr w:type="spellEnd"/>
      <w:r>
        <w:t xml:space="preserve"> za refundaciju zajedničkih režijskih troškova u iznosu od 2.079,26 eura.</w:t>
      </w:r>
    </w:p>
    <w:p w14:paraId="15ABFAAA" w14:textId="77777777" w:rsidR="00A0360E" w:rsidRDefault="00A0360E"/>
    <w:p w14:paraId="01BC126B" w14:textId="77777777" w:rsidR="00A0360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3EB1B3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B515D"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D22FE"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462AF"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4AA970" w14:textId="77777777" w:rsidR="00A0360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533408" w14:textId="77777777" w:rsidR="00A0360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000AF9" w14:textId="77777777" w:rsidR="00A0360E" w:rsidRDefault="00000000">
            <w:pPr>
              <w:keepNext/>
              <w:keepLines/>
              <w:spacing w:after="0" w:line="240" w:lineRule="auto"/>
              <w:jc w:val="center"/>
            </w:pPr>
            <w:r>
              <w:rPr>
                <w:b/>
                <w:sz w:val="18"/>
              </w:rPr>
              <w:t>Indeks (%)</w:t>
            </w:r>
          </w:p>
        </w:tc>
      </w:tr>
      <w:tr w:rsidR="00A0360E" w14:paraId="4D8B81C9" w14:textId="77777777">
        <w:tblPrEx>
          <w:tblCellMar>
            <w:top w:w="0" w:type="dxa"/>
            <w:bottom w:w="0" w:type="dxa"/>
          </w:tblCellMar>
        </w:tblPrEx>
        <w:trPr>
          <w:cantSplit/>
          <w:trHeight w:val="560"/>
        </w:trPr>
        <w:tc>
          <w:tcPr>
            <w:tcW w:w="700" w:type="dxa"/>
            <w:tcMar>
              <w:top w:w="0" w:type="dxa"/>
              <w:bottom w:w="0" w:type="dxa"/>
            </w:tcMar>
            <w:vAlign w:val="center"/>
          </w:tcPr>
          <w:p w14:paraId="424B5B92" w14:textId="77777777" w:rsidR="00A0360E" w:rsidRDefault="00000000">
            <w:pPr>
              <w:keepNext/>
              <w:keepLines/>
              <w:spacing w:after="0" w:line="240" w:lineRule="auto"/>
            </w:pPr>
            <w:r>
              <w:rPr>
                <w:sz w:val="18"/>
              </w:rPr>
              <w:t>1636</w:t>
            </w:r>
          </w:p>
        </w:tc>
        <w:tc>
          <w:tcPr>
            <w:tcW w:w="3180" w:type="dxa"/>
            <w:tcMar>
              <w:top w:w="0" w:type="dxa"/>
              <w:bottom w:w="0" w:type="dxa"/>
            </w:tcMar>
            <w:vAlign w:val="center"/>
          </w:tcPr>
          <w:p w14:paraId="6004CE4C" w14:textId="77777777" w:rsidR="00A0360E"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336B26C8" w14:textId="77777777" w:rsidR="00A0360E" w:rsidRDefault="00000000">
            <w:pPr>
              <w:keepNext/>
              <w:keepLines/>
              <w:spacing w:after="0" w:line="240" w:lineRule="auto"/>
            </w:pPr>
            <w:r>
              <w:rPr>
                <w:sz w:val="18"/>
              </w:rPr>
              <w:t>1636</w:t>
            </w:r>
          </w:p>
        </w:tc>
        <w:tc>
          <w:tcPr>
            <w:tcW w:w="1860" w:type="dxa"/>
            <w:tcMar>
              <w:top w:w="0" w:type="dxa"/>
              <w:bottom w:w="0" w:type="dxa"/>
            </w:tcMar>
            <w:vAlign w:val="center"/>
          </w:tcPr>
          <w:p w14:paraId="30BB9316"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270670F6" w14:textId="77777777" w:rsidR="00A0360E" w:rsidRDefault="00000000">
            <w:pPr>
              <w:keepNext/>
              <w:keepLines/>
              <w:spacing w:after="0" w:line="240" w:lineRule="auto"/>
              <w:jc w:val="right"/>
            </w:pPr>
            <w:r>
              <w:rPr>
                <w:sz w:val="18"/>
              </w:rPr>
              <w:t>800,00</w:t>
            </w:r>
          </w:p>
        </w:tc>
        <w:tc>
          <w:tcPr>
            <w:tcW w:w="700" w:type="dxa"/>
            <w:tcMar>
              <w:top w:w="0" w:type="dxa"/>
              <w:bottom w:w="0" w:type="dxa"/>
            </w:tcMar>
            <w:vAlign w:val="center"/>
          </w:tcPr>
          <w:p w14:paraId="3D284929" w14:textId="77777777" w:rsidR="00A0360E" w:rsidRDefault="00000000">
            <w:pPr>
              <w:keepNext/>
              <w:keepLines/>
              <w:spacing w:after="0" w:line="240" w:lineRule="auto"/>
              <w:jc w:val="right"/>
            </w:pPr>
            <w:r>
              <w:rPr>
                <w:sz w:val="18"/>
              </w:rPr>
              <w:t>-</w:t>
            </w:r>
          </w:p>
        </w:tc>
      </w:tr>
    </w:tbl>
    <w:p w14:paraId="7BFED854" w14:textId="77777777" w:rsidR="00A0360E" w:rsidRDefault="00A0360E">
      <w:pPr>
        <w:spacing w:after="0"/>
      </w:pPr>
    </w:p>
    <w:p w14:paraId="7ABE0653" w14:textId="77777777" w:rsidR="00A0360E" w:rsidRDefault="00000000">
      <w:r>
        <w:t>Navedeno se odnosi na potraživanje prema Ministarstvu kulture temeljem Ugovora za Program - Ciklus predavanja: Hrvatska državnost i kultura.</w:t>
      </w:r>
    </w:p>
    <w:p w14:paraId="67058913" w14:textId="77777777" w:rsidR="00A0360E" w:rsidRDefault="00A0360E"/>
    <w:p w14:paraId="5A687F88" w14:textId="77777777" w:rsidR="00A0360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5374B9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1783E"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9EDBAF"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E977A"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E5E110" w14:textId="77777777" w:rsidR="00A0360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F7F010" w14:textId="77777777" w:rsidR="00A0360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C17A12" w14:textId="77777777" w:rsidR="00A0360E" w:rsidRDefault="00000000">
            <w:pPr>
              <w:keepNext/>
              <w:keepLines/>
              <w:spacing w:after="0" w:line="240" w:lineRule="auto"/>
              <w:jc w:val="center"/>
            </w:pPr>
            <w:r>
              <w:rPr>
                <w:b/>
                <w:sz w:val="18"/>
              </w:rPr>
              <w:t>Indeks (%)</w:t>
            </w:r>
          </w:p>
        </w:tc>
      </w:tr>
      <w:tr w:rsidR="00A0360E" w14:paraId="7708E6C6" w14:textId="77777777">
        <w:tblPrEx>
          <w:tblCellMar>
            <w:top w:w="0" w:type="dxa"/>
            <w:bottom w:w="0" w:type="dxa"/>
          </w:tblCellMar>
        </w:tblPrEx>
        <w:trPr>
          <w:cantSplit/>
          <w:trHeight w:val="560"/>
        </w:trPr>
        <w:tc>
          <w:tcPr>
            <w:tcW w:w="700" w:type="dxa"/>
            <w:tcMar>
              <w:top w:w="0" w:type="dxa"/>
              <w:bottom w:w="0" w:type="dxa"/>
            </w:tcMar>
            <w:vAlign w:val="center"/>
          </w:tcPr>
          <w:p w14:paraId="3FF800CD" w14:textId="77777777" w:rsidR="00A0360E" w:rsidRDefault="00000000">
            <w:pPr>
              <w:keepNext/>
              <w:keepLines/>
              <w:spacing w:after="0" w:line="240" w:lineRule="auto"/>
            </w:pPr>
            <w:r>
              <w:rPr>
                <w:sz w:val="18"/>
              </w:rPr>
              <w:t>92221</w:t>
            </w:r>
          </w:p>
        </w:tc>
        <w:tc>
          <w:tcPr>
            <w:tcW w:w="3180" w:type="dxa"/>
            <w:tcMar>
              <w:top w:w="0" w:type="dxa"/>
              <w:bottom w:w="0" w:type="dxa"/>
            </w:tcMar>
            <w:vAlign w:val="center"/>
          </w:tcPr>
          <w:p w14:paraId="2843850D" w14:textId="77777777" w:rsidR="00A0360E" w:rsidRDefault="00000000">
            <w:pPr>
              <w:keepNext/>
              <w:keepLines/>
              <w:spacing w:after="0" w:line="240" w:lineRule="auto"/>
            </w:pPr>
            <w:r>
              <w:rPr>
                <w:sz w:val="18"/>
              </w:rPr>
              <w:t>Manjak prihoda poslovanja</w:t>
            </w:r>
          </w:p>
        </w:tc>
        <w:tc>
          <w:tcPr>
            <w:tcW w:w="700" w:type="dxa"/>
            <w:tcMar>
              <w:top w:w="0" w:type="dxa"/>
              <w:bottom w:w="0" w:type="dxa"/>
            </w:tcMar>
            <w:vAlign w:val="center"/>
          </w:tcPr>
          <w:p w14:paraId="41540FA0" w14:textId="77777777" w:rsidR="00A0360E" w:rsidRDefault="00000000">
            <w:pPr>
              <w:keepNext/>
              <w:keepLines/>
              <w:spacing w:after="0" w:line="240" w:lineRule="auto"/>
            </w:pPr>
            <w:r>
              <w:rPr>
                <w:sz w:val="18"/>
              </w:rPr>
              <w:t>92221</w:t>
            </w:r>
          </w:p>
        </w:tc>
        <w:tc>
          <w:tcPr>
            <w:tcW w:w="1860" w:type="dxa"/>
            <w:tcMar>
              <w:top w:w="0" w:type="dxa"/>
              <w:bottom w:w="0" w:type="dxa"/>
            </w:tcMar>
            <w:vAlign w:val="center"/>
          </w:tcPr>
          <w:p w14:paraId="50E8470A"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79FA2345" w14:textId="77777777" w:rsidR="00A0360E" w:rsidRDefault="00000000">
            <w:pPr>
              <w:keepNext/>
              <w:keepLines/>
              <w:spacing w:after="0" w:line="240" w:lineRule="auto"/>
              <w:jc w:val="right"/>
            </w:pPr>
            <w:r>
              <w:rPr>
                <w:sz w:val="18"/>
              </w:rPr>
              <w:t>33.836,54</w:t>
            </w:r>
          </w:p>
        </w:tc>
        <w:tc>
          <w:tcPr>
            <w:tcW w:w="700" w:type="dxa"/>
            <w:tcMar>
              <w:top w:w="0" w:type="dxa"/>
              <w:bottom w:w="0" w:type="dxa"/>
            </w:tcMar>
            <w:vAlign w:val="center"/>
          </w:tcPr>
          <w:p w14:paraId="0C2809B4" w14:textId="77777777" w:rsidR="00A0360E" w:rsidRDefault="00000000">
            <w:pPr>
              <w:keepNext/>
              <w:keepLines/>
              <w:spacing w:after="0" w:line="240" w:lineRule="auto"/>
              <w:jc w:val="right"/>
            </w:pPr>
            <w:r>
              <w:rPr>
                <w:sz w:val="18"/>
              </w:rPr>
              <w:t>-</w:t>
            </w:r>
          </w:p>
        </w:tc>
      </w:tr>
    </w:tbl>
    <w:p w14:paraId="2B8A3676" w14:textId="77777777" w:rsidR="00A0360E" w:rsidRDefault="00A0360E">
      <w:pPr>
        <w:spacing w:after="0"/>
      </w:pPr>
    </w:p>
    <w:p w14:paraId="70582282" w14:textId="77777777" w:rsidR="00A0360E" w:rsidRDefault="00000000">
      <w:r>
        <w:t>Manjak prihoda poslovanja od 33.836,54 eura je rezultat viška prihoda iz vlastitih izvora u iznosu od 9.651,91 eura, viška prihoda od donacija od 315,00 eura, manjka prihoda od tekućih pomoći iz državnog proračuna u iznosu od 683,07 eura i manjka prihoda poslovanja iz općih prihoda u iznosu od 43.120,38 eura, tzv. metodološkog manjka.</w:t>
      </w:r>
    </w:p>
    <w:p w14:paraId="0030C6AC" w14:textId="77777777" w:rsidR="00A0360E" w:rsidRDefault="00A0360E"/>
    <w:p w14:paraId="6A426842" w14:textId="77777777" w:rsidR="00A0360E" w:rsidRDefault="00000000">
      <w:pPr>
        <w:keepNext/>
        <w:spacing w:line="240" w:lineRule="auto"/>
        <w:jc w:val="center"/>
      </w:pPr>
      <w:r>
        <w:rPr>
          <w:b/>
          <w:sz w:val="28"/>
        </w:rPr>
        <w:t>Izvještaj o rashodima prema funkcijskoj klasifikaciji</w:t>
      </w:r>
    </w:p>
    <w:p w14:paraId="10A69987" w14:textId="77777777" w:rsidR="00A0360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459C3E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5C80F8"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CC9B63"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1F104"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80E4E" w14:textId="77777777" w:rsidR="00A0360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8996E2" w14:textId="77777777" w:rsidR="00A0360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6E400E" w14:textId="77777777" w:rsidR="00A0360E" w:rsidRDefault="00000000">
            <w:pPr>
              <w:keepNext/>
              <w:keepLines/>
              <w:spacing w:after="0" w:line="240" w:lineRule="auto"/>
              <w:jc w:val="center"/>
            </w:pPr>
            <w:r>
              <w:rPr>
                <w:b/>
                <w:sz w:val="18"/>
              </w:rPr>
              <w:t>Indeks (%)</w:t>
            </w:r>
          </w:p>
        </w:tc>
      </w:tr>
      <w:tr w:rsidR="00A0360E" w14:paraId="18C9514A" w14:textId="77777777">
        <w:tblPrEx>
          <w:tblCellMar>
            <w:top w:w="0" w:type="dxa"/>
            <w:bottom w:w="0" w:type="dxa"/>
          </w:tblCellMar>
        </w:tblPrEx>
        <w:trPr>
          <w:cantSplit/>
          <w:trHeight w:val="560"/>
        </w:trPr>
        <w:tc>
          <w:tcPr>
            <w:tcW w:w="700" w:type="dxa"/>
            <w:tcMar>
              <w:top w:w="0" w:type="dxa"/>
              <w:bottom w:w="0" w:type="dxa"/>
            </w:tcMar>
            <w:vAlign w:val="center"/>
          </w:tcPr>
          <w:p w14:paraId="16266B15" w14:textId="77777777" w:rsidR="00A0360E" w:rsidRDefault="00000000">
            <w:pPr>
              <w:keepNext/>
              <w:keepLines/>
              <w:spacing w:after="0" w:line="240" w:lineRule="auto"/>
            </w:pPr>
            <w:r>
              <w:rPr>
                <w:sz w:val="18"/>
              </w:rPr>
              <w:t>082</w:t>
            </w:r>
          </w:p>
        </w:tc>
        <w:tc>
          <w:tcPr>
            <w:tcW w:w="3180" w:type="dxa"/>
            <w:tcMar>
              <w:top w:w="0" w:type="dxa"/>
              <w:bottom w:w="0" w:type="dxa"/>
            </w:tcMar>
            <w:vAlign w:val="center"/>
          </w:tcPr>
          <w:p w14:paraId="5AE6B076" w14:textId="77777777" w:rsidR="00A0360E" w:rsidRDefault="00000000">
            <w:pPr>
              <w:keepNext/>
              <w:keepLines/>
              <w:spacing w:after="0" w:line="240" w:lineRule="auto"/>
            </w:pPr>
            <w:r>
              <w:rPr>
                <w:sz w:val="18"/>
              </w:rPr>
              <w:t>Službe kulture</w:t>
            </w:r>
          </w:p>
        </w:tc>
        <w:tc>
          <w:tcPr>
            <w:tcW w:w="700" w:type="dxa"/>
            <w:tcMar>
              <w:top w:w="0" w:type="dxa"/>
              <w:bottom w:w="0" w:type="dxa"/>
            </w:tcMar>
            <w:vAlign w:val="center"/>
          </w:tcPr>
          <w:p w14:paraId="5F0C82AC" w14:textId="77777777" w:rsidR="00A0360E" w:rsidRDefault="00000000">
            <w:pPr>
              <w:keepNext/>
              <w:keepLines/>
              <w:spacing w:after="0" w:line="240" w:lineRule="auto"/>
            </w:pPr>
            <w:r>
              <w:rPr>
                <w:sz w:val="18"/>
              </w:rPr>
              <w:t>082</w:t>
            </w:r>
          </w:p>
        </w:tc>
        <w:tc>
          <w:tcPr>
            <w:tcW w:w="1860" w:type="dxa"/>
            <w:tcMar>
              <w:top w:w="0" w:type="dxa"/>
              <w:bottom w:w="0" w:type="dxa"/>
            </w:tcMar>
            <w:vAlign w:val="center"/>
          </w:tcPr>
          <w:p w14:paraId="7DFDD839" w14:textId="77777777" w:rsidR="00A0360E" w:rsidRDefault="00000000">
            <w:pPr>
              <w:keepNext/>
              <w:keepLines/>
              <w:spacing w:after="0" w:line="240" w:lineRule="auto"/>
              <w:jc w:val="right"/>
            </w:pPr>
            <w:r>
              <w:rPr>
                <w:sz w:val="18"/>
              </w:rPr>
              <w:t>362.502,16</w:t>
            </w:r>
          </w:p>
        </w:tc>
        <w:tc>
          <w:tcPr>
            <w:tcW w:w="1860" w:type="dxa"/>
            <w:tcMar>
              <w:top w:w="0" w:type="dxa"/>
              <w:bottom w:w="0" w:type="dxa"/>
            </w:tcMar>
            <w:vAlign w:val="center"/>
          </w:tcPr>
          <w:p w14:paraId="0E5CF773" w14:textId="77777777" w:rsidR="00A0360E" w:rsidRDefault="00000000">
            <w:pPr>
              <w:keepNext/>
              <w:keepLines/>
              <w:spacing w:after="0" w:line="240" w:lineRule="auto"/>
              <w:jc w:val="right"/>
            </w:pPr>
            <w:r>
              <w:rPr>
                <w:sz w:val="18"/>
              </w:rPr>
              <w:t>454.741,88</w:t>
            </w:r>
          </w:p>
        </w:tc>
        <w:tc>
          <w:tcPr>
            <w:tcW w:w="700" w:type="dxa"/>
            <w:tcMar>
              <w:top w:w="0" w:type="dxa"/>
              <w:bottom w:w="0" w:type="dxa"/>
            </w:tcMar>
            <w:vAlign w:val="center"/>
          </w:tcPr>
          <w:p w14:paraId="1F8DAA41" w14:textId="77777777" w:rsidR="00A0360E" w:rsidRDefault="00000000">
            <w:pPr>
              <w:keepNext/>
              <w:keepLines/>
              <w:spacing w:after="0" w:line="240" w:lineRule="auto"/>
              <w:jc w:val="right"/>
            </w:pPr>
            <w:r>
              <w:rPr>
                <w:sz w:val="18"/>
              </w:rPr>
              <w:t>125,4</w:t>
            </w:r>
          </w:p>
        </w:tc>
      </w:tr>
    </w:tbl>
    <w:p w14:paraId="7E4036E8" w14:textId="77777777" w:rsidR="00A0360E" w:rsidRDefault="00A0360E">
      <w:pPr>
        <w:spacing w:after="0"/>
      </w:pPr>
    </w:p>
    <w:p w14:paraId="008756E0" w14:textId="77777777" w:rsidR="00A0360E" w:rsidRDefault="00000000">
      <w:r>
        <w:lastRenderedPageBreak/>
        <w:t>Funkcijska klasifikacija 082 - službe kulture u iznosu od 454.741,88 eura odgovara ukupnim rashodima iz Izvještaja o prihodima i rashodima, primicima i izdacima na 31.12.2025. godine.</w:t>
      </w:r>
    </w:p>
    <w:p w14:paraId="631C74C3" w14:textId="77777777" w:rsidR="00A0360E" w:rsidRDefault="00A0360E"/>
    <w:p w14:paraId="55B84F2E" w14:textId="77777777" w:rsidR="00A0360E" w:rsidRDefault="00000000">
      <w:pPr>
        <w:keepNext/>
        <w:spacing w:line="240" w:lineRule="auto"/>
        <w:jc w:val="center"/>
      </w:pPr>
      <w:r>
        <w:rPr>
          <w:b/>
          <w:sz w:val="28"/>
        </w:rPr>
        <w:t>Promjene u vrijednosti i obujmu imovine i obveza</w:t>
      </w:r>
    </w:p>
    <w:p w14:paraId="1AC2840F" w14:textId="77777777" w:rsidR="00A0360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0360E" w14:paraId="548DD8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50FFF4"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77F893"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7FD70"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1289F4" w14:textId="77777777" w:rsidR="00A0360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4432E6E" w14:textId="77777777" w:rsidR="00A0360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059152A" w14:textId="77777777" w:rsidR="00A0360E" w:rsidRDefault="00000000">
            <w:pPr>
              <w:keepNext/>
              <w:keepLines/>
              <w:spacing w:after="0" w:line="240" w:lineRule="auto"/>
              <w:jc w:val="center"/>
            </w:pPr>
            <w:r>
              <w:rPr>
                <w:b/>
                <w:sz w:val="18"/>
              </w:rPr>
              <w:t>Indeks (%)</w:t>
            </w:r>
          </w:p>
        </w:tc>
      </w:tr>
      <w:tr w:rsidR="00A0360E" w14:paraId="68E7C6F8" w14:textId="77777777">
        <w:tblPrEx>
          <w:tblCellMar>
            <w:top w:w="0" w:type="dxa"/>
            <w:bottom w:w="0" w:type="dxa"/>
          </w:tblCellMar>
        </w:tblPrEx>
        <w:trPr>
          <w:cantSplit/>
          <w:trHeight w:val="560"/>
        </w:trPr>
        <w:tc>
          <w:tcPr>
            <w:tcW w:w="700" w:type="dxa"/>
            <w:tcMar>
              <w:top w:w="0" w:type="dxa"/>
              <w:bottom w:w="0" w:type="dxa"/>
            </w:tcMar>
            <w:vAlign w:val="center"/>
          </w:tcPr>
          <w:p w14:paraId="60C9DE29" w14:textId="77777777" w:rsidR="00A0360E" w:rsidRDefault="00A0360E">
            <w:pPr>
              <w:keepNext/>
              <w:keepLines/>
              <w:spacing w:after="0" w:line="240" w:lineRule="auto"/>
            </w:pPr>
          </w:p>
        </w:tc>
        <w:tc>
          <w:tcPr>
            <w:tcW w:w="3180" w:type="dxa"/>
            <w:tcMar>
              <w:top w:w="0" w:type="dxa"/>
              <w:bottom w:w="0" w:type="dxa"/>
            </w:tcMar>
            <w:vAlign w:val="center"/>
          </w:tcPr>
          <w:p w14:paraId="3B5CC7F3" w14:textId="77777777" w:rsidR="00A0360E" w:rsidRDefault="00000000">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716F952F" w14:textId="77777777" w:rsidR="00A0360E" w:rsidRDefault="00000000">
            <w:pPr>
              <w:keepNext/>
              <w:keepLines/>
              <w:spacing w:after="0" w:line="240" w:lineRule="auto"/>
            </w:pPr>
            <w:r>
              <w:rPr>
                <w:sz w:val="18"/>
              </w:rPr>
              <w:t>P001</w:t>
            </w:r>
          </w:p>
        </w:tc>
        <w:tc>
          <w:tcPr>
            <w:tcW w:w="1860" w:type="dxa"/>
            <w:tcMar>
              <w:top w:w="0" w:type="dxa"/>
              <w:bottom w:w="0" w:type="dxa"/>
            </w:tcMar>
            <w:vAlign w:val="center"/>
          </w:tcPr>
          <w:p w14:paraId="60BB1918" w14:textId="77777777" w:rsidR="00A0360E" w:rsidRDefault="00000000">
            <w:pPr>
              <w:keepNext/>
              <w:keepLines/>
              <w:spacing w:after="0" w:line="240" w:lineRule="auto"/>
              <w:jc w:val="right"/>
            </w:pPr>
            <w:r>
              <w:rPr>
                <w:sz w:val="18"/>
              </w:rPr>
              <w:t>0,00</w:t>
            </w:r>
          </w:p>
        </w:tc>
        <w:tc>
          <w:tcPr>
            <w:tcW w:w="1860" w:type="dxa"/>
            <w:tcMar>
              <w:top w:w="0" w:type="dxa"/>
              <w:bottom w:w="0" w:type="dxa"/>
            </w:tcMar>
            <w:vAlign w:val="center"/>
          </w:tcPr>
          <w:p w14:paraId="04BE92A7" w14:textId="77777777" w:rsidR="00A0360E" w:rsidRDefault="00000000">
            <w:pPr>
              <w:keepNext/>
              <w:keepLines/>
              <w:spacing w:after="0" w:line="240" w:lineRule="auto"/>
              <w:jc w:val="right"/>
            </w:pPr>
            <w:r>
              <w:rPr>
                <w:sz w:val="18"/>
              </w:rPr>
              <w:t>41.599,28</w:t>
            </w:r>
          </w:p>
        </w:tc>
        <w:tc>
          <w:tcPr>
            <w:tcW w:w="700" w:type="dxa"/>
            <w:tcMar>
              <w:top w:w="0" w:type="dxa"/>
              <w:bottom w:w="0" w:type="dxa"/>
            </w:tcMar>
            <w:vAlign w:val="center"/>
          </w:tcPr>
          <w:p w14:paraId="1E0CB77C" w14:textId="77777777" w:rsidR="00A0360E" w:rsidRDefault="00000000">
            <w:pPr>
              <w:keepNext/>
              <w:keepLines/>
              <w:spacing w:after="0" w:line="240" w:lineRule="auto"/>
              <w:jc w:val="right"/>
            </w:pPr>
            <w:r>
              <w:rPr>
                <w:sz w:val="18"/>
              </w:rPr>
              <w:t>-</w:t>
            </w:r>
          </w:p>
        </w:tc>
      </w:tr>
    </w:tbl>
    <w:p w14:paraId="1EC8F768" w14:textId="77777777" w:rsidR="00A0360E" w:rsidRDefault="00A0360E">
      <w:pPr>
        <w:spacing w:after="0"/>
      </w:pPr>
    </w:p>
    <w:p w14:paraId="1EC8060F" w14:textId="77777777" w:rsidR="00A0360E" w:rsidRDefault="00000000">
      <w:r>
        <w:t xml:space="preserve">Smanjenje vrijednosti nefinancijske imovine </w:t>
      </w:r>
      <w:proofErr w:type="spellStart"/>
      <w:r>
        <w:t>imovine</w:t>
      </w:r>
      <w:proofErr w:type="spellEnd"/>
      <w:r>
        <w:t xml:space="preserve"> u iznosu od 41.599,28 eura odnosi se na promjenu u vrijednosti imovine temeljem obračuna ispravka vrijednosti za 2025 godinu i to </w:t>
      </w:r>
      <w:proofErr w:type="spellStart"/>
      <w:r>
        <w:t>neproizvedene</w:t>
      </w:r>
      <w:proofErr w:type="spellEnd"/>
      <w:r>
        <w:t xml:space="preserve"> dugotrajne imovine u iznosu od 6.234,38 eura, postrojenja i opreme u vrijednosti 30.764,94 eura i prijevoznih sredstava u vrijednosti od 4.600,00 eura.</w:t>
      </w:r>
    </w:p>
    <w:p w14:paraId="7A9D268B" w14:textId="77777777" w:rsidR="00A0360E" w:rsidRDefault="00A0360E"/>
    <w:p w14:paraId="79DC8C11" w14:textId="77777777" w:rsidR="00A0360E" w:rsidRDefault="00000000">
      <w:pPr>
        <w:keepNext/>
        <w:spacing w:line="240" w:lineRule="auto"/>
        <w:jc w:val="center"/>
      </w:pPr>
      <w:r>
        <w:rPr>
          <w:b/>
          <w:sz w:val="28"/>
        </w:rPr>
        <w:t>Izvještaj o obvezama</w:t>
      </w:r>
    </w:p>
    <w:p w14:paraId="1CF665D5" w14:textId="77777777" w:rsidR="00A0360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0360E" w14:paraId="2AC187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AD6762"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63EDA0"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9FD07D"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E428B" w14:textId="77777777" w:rsidR="00A036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1BC782" w14:textId="77777777" w:rsidR="00A0360E" w:rsidRDefault="00000000">
            <w:pPr>
              <w:keepNext/>
              <w:keepLines/>
              <w:spacing w:after="0" w:line="240" w:lineRule="auto"/>
              <w:jc w:val="center"/>
            </w:pPr>
            <w:r>
              <w:rPr>
                <w:b/>
                <w:sz w:val="18"/>
              </w:rPr>
              <w:t>Indeks (%)</w:t>
            </w:r>
          </w:p>
        </w:tc>
      </w:tr>
      <w:tr w:rsidR="00A0360E" w14:paraId="45A0868C" w14:textId="77777777">
        <w:tblPrEx>
          <w:tblCellMar>
            <w:top w:w="0" w:type="dxa"/>
            <w:bottom w:w="0" w:type="dxa"/>
          </w:tblCellMar>
        </w:tblPrEx>
        <w:trPr>
          <w:cantSplit/>
          <w:trHeight w:val="560"/>
        </w:trPr>
        <w:tc>
          <w:tcPr>
            <w:tcW w:w="700" w:type="dxa"/>
            <w:tcMar>
              <w:top w:w="0" w:type="dxa"/>
              <w:bottom w:w="0" w:type="dxa"/>
            </w:tcMar>
            <w:vAlign w:val="center"/>
          </w:tcPr>
          <w:p w14:paraId="5D6948E9" w14:textId="77777777" w:rsidR="00A0360E" w:rsidRDefault="00A0360E">
            <w:pPr>
              <w:keepNext/>
              <w:keepLines/>
              <w:spacing w:after="0" w:line="240" w:lineRule="auto"/>
            </w:pPr>
          </w:p>
        </w:tc>
        <w:tc>
          <w:tcPr>
            <w:tcW w:w="3180" w:type="dxa"/>
            <w:tcMar>
              <w:top w:w="0" w:type="dxa"/>
              <w:bottom w:w="0" w:type="dxa"/>
            </w:tcMar>
            <w:vAlign w:val="center"/>
          </w:tcPr>
          <w:p w14:paraId="2B1F09A2" w14:textId="77777777" w:rsidR="00A0360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0C15069" w14:textId="77777777" w:rsidR="00A0360E" w:rsidRDefault="00000000">
            <w:pPr>
              <w:keepNext/>
              <w:keepLines/>
              <w:spacing w:after="0" w:line="240" w:lineRule="auto"/>
            </w:pPr>
            <w:r>
              <w:rPr>
                <w:sz w:val="18"/>
              </w:rPr>
              <w:t>V007</w:t>
            </w:r>
          </w:p>
        </w:tc>
        <w:tc>
          <w:tcPr>
            <w:tcW w:w="1860" w:type="dxa"/>
            <w:tcMar>
              <w:top w:w="0" w:type="dxa"/>
              <w:bottom w:w="0" w:type="dxa"/>
            </w:tcMar>
            <w:vAlign w:val="center"/>
          </w:tcPr>
          <w:p w14:paraId="7336ADB3" w14:textId="77777777" w:rsidR="00A0360E" w:rsidRDefault="00000000">
            <w:pPr>
              <w:keepNext/>
              <w:keepLines/>
              <w:spacing w:after="0" w:line="240" w:lineRule="auto"/>
              <w:jc w:val="right"/>
            </w:pPr>
            <w:r>
              <w:rPr>
                <w:sz w:val="18"/>
              </w:rPr>
              <w:t>5.183,40</w:t>
            </w:r>
          </w:p>
        </w:tc>
        <w:tc>
          <w:tcPr>
            <w:tcW w:w="700" w:type="dxa"/>
            <w:tcMar>
              <w:top w:w="0" w:type="dxa"/>
              <w:bottom w:w="0" w:type="dxa"/>
            </w:tcMar>
            <w:vAlign w:val="center"/>
          </w:tcPr>
          <w:p w14:paraId="13B298E7" w14:textId="77777777" w:rsidR="00A0360E" w:rsidRDefault="00000000">
            <w:pPr>
              <w:keepNext/>
              <w:keepLines/>
              <w:spacing w:after="0" w:line="240" w:lineRule="auto"/>
              <w:jc w:val="right"/>
            </w:pPr>
            <w:r>
              <w:rPr>
                <w:sz w:val="18"/>
              </w:rPr>
              <w:t>-</w:t>
            </w:r>
          </w:p>
        </w:tc>
      </w:tr>
    </w:tbl>
    <w:p w14:paraId="3A567E47" w14:textId="77777777" w:rsidR="00A0360E" w:rsidRDefault="00A0360E">
      <w:pPr>
        <w:spacing w:after="0"/>
      </w:pPr>
    </w:p>
    <w:p w14:paraId="23374655" w14:textId="77777777" w:rsidR="00A0360E" w:rsidRDefault="00000000">
      <w:r>
        <w:t>Stanje dospjelih obveza na kraju izvještajnog razdoblja iznosi 5.183,40 eura, a odnose se na dospjele obveze u razdoblju od 05.12. do kraja godine, koje tehnički nije bilo moguće podmiriti do 31.12.2025, godine zbog toga što ustanova posluje preko županijske riznice. Dospjele obveze su podmirene početkom siječnja 2026. godine</w:t>
      </w:r>
    </w:p>
    <w:p w14:paraId="1A91EADF" w14:textId="77777777" w:rsidR="00A0360E" w:rsidRDefault="00A0360E"/>
    <w:p w14:paraId="6AEC2521" w14:textId="77777777" w:rsidR="00A0360E"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0360E" w14:paraId="651A93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596511"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86FD3E"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ADF29D"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15701" w14:textId="77777777" w:rsidR="00A036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B3719F" w14:textId="77777777" w:rsidR="00A0360E" w:rsidRDefault="00000000">
            <w:pPr>
              <w:keepNext/>
              <w:keepLines/>
              <w:spacing w:after="0" w:line="240" w:lineRule="auto"/>
              <w:jc w:val="center"/>
            </w:pPr>
            <w:r>
              <w:rPr>
                <w:b/>
                <w:sz w:val="18"/>
              </w:rPr>
              <w:t>Indeks (%)</w:t>
            </w:r>
          </w:p>
        </w:tc>
      </w:tr>
      <w:tr w:rsidR="00A0360E" w14:paraId="7E97F04B" w14:textId="77777777">
        <w:tblPrEx>
          <w:tblCellMar>
            <w:top w:w="0" w:type="dxa"/>
            <w:bottom w:w="0" w:type="dxa"/>
          </w:tblCellMar>
        </w:tblPrEx>
        <w:trPr>
          <w:cantSplit/>
          <w:trHeight w:val="560"/>
        </w:trPr>
        <w:tc>
          <w:tcPr>
            <w:tcW w:w="700" w:type="dxa"/>
            <w:tcMar>
              <w:top w:w="0" w:type="dxa"/>
              <w:bottom w:w="0" w:type="dxa"/>
            </w:tcMar>
            <w:vAlign w:val="center"/>
          </w:tcPr>
          <w:p w14:paraId="47933B62" w14:textId="77777777" w:rsidR="00A0360E" w:rsidRDefault="00A0360E">
            <w:pPr>
              <w:keepNext/>
              <w:keepLines/>
              <w:spacing w:after="0" w:line="240" w:lineRule="auto"/>
            </w:pPr>
          </w:p>
        </w:tc>
        <w:tc>
          <w:tcPr>
            <w:tcW w:w="3180" w:type="dxa"/>
            <w:tcMar>
              <w:top w:w="0" w:type="dxa"/>
              <w:bottom w:w="0" w:type="dxa"/>
            </w:tcMar>
            <w:vAlign w:val="center"/>
          </w:tcPr>
          <w:p w14:paraId="765A0314" w14:textId="77777777" w:rsidR="00A0360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635065B" w14:textId="77777777" w:rsidR="00A0360E" w:rsidRDefault="00000000">
            <w:pPr>
              <w:keepNext/>
              <w:keepLines/>
              <w:spacing w:after="0" w:line="240" w:lineRule="auto"/>
            </w:pPr>
            <w:r>
              <w:rPr>
                <w:sz w:val="18"/>
              </w:rPr>
              <w:t>V010</w:t>
            </w:r>
          </w:p>
        </w:tc>
        <w:tc>
          <w:tcPr>
            <w:tcW w:w="1860" w:type="dxa"/>
            <w:tcMar>
              <w:top w:w="0" w:type="dxa"/>
              <w:bottom w:w="0" w:type="dxa"/>
            </w:tcMar>
            <w:vAlign w:val="center"/>
          </w:tcPr>
          <w:p w14:paraId="6B41C711" w14:textId="77777777" w:rsidR="00A0360E" w:rsidRDefault="00000000">
            <w:pPr>
              <w:keepNext/>
              <w:keepLines/>
              <w:spacing w:after="0" w:line="240" w:lineRule="auto"/>
              <w:jc w:val="right"/>
            </w:pPr>
            <w:r>
              <w:rPr>
                <w:sz w:val="18"/>
              </w:rPr>
              <w:t>574,97</w:t>
            </w:r>
          </w:p>
        </w:tc>
        <w:tc>
          <w:tcPr>
            <w:tcW w:w="700" w:type="dxa"/>
            <w:tcMar>
              <w:top w:w="0" w:type="dxa"/>
              <w:bottom w:w="0" w:type="dxa"/>
            </w:tcMar>
            <w:vAlign w:val="center"/>
          </w:tcPr>
          <w:p w14:paraId="557EDAAD" w14:textId="77777777" w:rsidR="00A0360E" w:rsidRDefault="00000000">
            <w:pPr>
              <w:keepNext/>
              <w:keepLines/>
              <w:spacing w:after="0" w:line="240" w:lineRule="auto"/>
              <w:jc w:val="right"/>
            </w:pPr>
            <w:r>
              <w:rPr>
                <w:sz w:val="18"/>
              </w:rPr>
              <w:t>-</w:t>
            </w:r>
          </w:p>
        </w:tc>
      </w:tr>
    </w:tbl>
    <w:p w14:paraId="25EA5819" w14:textId="77777777" w:rsidR="00A0360E" w:rsidRDefault="00A0360E">
      <w:pPr>
        <w:spacing w:after="0"/>
      </w:pPr>
    </w:p>
    <w:p w14:paraId="2A426B75" w14:textId="77777777" w:rsidR="00A0360E" w:rsidRDefault="00000000">
      <w:r>
        <w:t>Obveze u iznosu od 574,97 eura odnose se na obveze proračunskog korisnika za povrat u proračun za bolovanje na teret HZZO-a u iznosu od 429,15 eura i obvezu za više plaćeni porez na dohodak po godišnjem obračunu poreza u iznosu od 145,82 eura.</w:t>
      </w:r>
    </w:p>
    <w:p w14:paraId="51214012" w14:textId="77777777" w:rsidR="00A0360E" w:rsidRDefault="00A0360E"/>
    <w:p w14:paraId="03A3C0D8" w14:textId="77777777" w:rsidR="00A0360E"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0360E" w14:paraId="0CCA35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9CAD4" w14:textId="77777777" w:rsidR="00A0360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56EEE0" w14:textId="77777777" w:rsidR="00A0360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16C244" w14:textId="77777777" w:rsidR="00A0360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7A210" w14:textId="77777777" w:rsidR="00A0360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3812738" w14:textId="77777777" w:rsidR="00A0360E" w:rsidRDefault="00000000">
            <w:pPr>
              <w:keepNext/>
              <w:keepLines/>
              <w:spacing w:after="0" w:line="240" w:lineRule="auto"/>
              <w:jc w:val="center"/>
            </w:pPr>
            <w:r>
              <w:rPr>
                <w:b/>
                <w:sz w:val="18"/>
              </w:rPr>
              <w:t>Indeks (%)</w:t>
            </w:r>
          </w:p>
        </w:tc>
      </w:tr>
      <w:tr w:rsidR="00A0360E" w14:paraId="1F071457" w14:textId="77777777">
        <w:tblPrEx>
          <w:tblCellMar>
            <w:top w:w="0" w:type="dxa"/>
            <w:bottom w:w="0" w:type="dxa"/>
          </w:tblCellMar>
        </w:tblPrEx>
        <w:trPr>
          <w:cantSplit/>
          <w:trHeight w:val="560"/>
        </w:trPr>
        <w:tc>
          <w:tcPr>
            <w:tcW w:w="700" w:type="dxa"/>
            <w:tcMar>
              <w:top w:w="0" w:type="dxa"/>
              <w:bottom w:w="0" w:type="dxa"/>
            </w:tcMar>
            <w:vAlign w:val="center"/>
          </w:tcPr>
          <w:p w14:paraId="4483DA34" w14:textId="77777777" w:rsidR="00A0360E" w:rsidRDefault="00000000">
            <w:pPr>
              <w:keepNext/>
              <w:keepLines/>
              <w:spacing w:after="0" w:line="240" w:lineRule="auto"/>
            </w:pPr>
            <w:r>
              <w:rPr>
                <w:sz w:val="18"/>
              </w:rPr>
              <w:t>23</w:t>
            </w:r>
          </w:p>
        </w:tc>
        <w:tc>
          <w:tcPr>
            <w:tcW w:w="3180" w:type="dxa"/>
            <w:tcMar>
              <w:top w:w="0" w:type="dxa"/>
              <w:bottom w:w="0" w:type="dxa"/>
            </w:tcMar>
            <w:vAlign w:val="center"/>
          </w:tcPr>
          <w:p w14:paraId="1156E891" w14:textId="77777777" w:rsidR="00A0360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E24B6D3" w14:textId="77777777" w:rsidR="00A0360E" w:rsidRDefault="00000000">
            <w:pPr>
              <w:keepNext/>
              <w:keepLines/>
              <w:spacing w:after="0" w:line="240" w:lineRule="auto"/>
            </w:pPr>
            <w:r>
              <w:rPr>
                <w:sz w:val="18"/>
              </w:rPr>
              <w:t>ND23</w:t>
            </w:r>
          </w:p>
        </w:tc>
        <w:tc>
          <w:tcPr>
            <w:tcW w:w="1860" w:type="dxa"/>
            <w:tcMar>
              <w:top w:w="0" w:type="dxa"/>
              <w:bottom w:w="0" w:type="dxa"/>
            </w:tcMar>
            <w:vAlign w:val="center"/>
          </w:tcPr>
          <w:p w14:paraId="7186A6AC" w14:textId="77777777" w:rsidR="00A0360E" w:rsidRDefault="00000000">
            <w:pPr>
              <w:keepNext/>
              <w:keepLines/>
              <w:spacing w:after="0" w:line="240" w:lineRule="auto"/>
              <w:jc w:val="right"/>
            </w:pPr>
            <w:r>
              <w:rPr>
                <w:sz w:val="18"/>
              </w:rPr>
              <w:t>40.744,76</w:t>
            </w:r>
          </w:p>
        </w:tc>
        <w:tc>
          <w:tcPr>
            <w:tcW w:w="700" w:type="dxa"/>
            <w:tcMar>
              <w:top w:w="0" w:type="dxa"/>
              <w:bottom w:w="0" w:type="dxa"/>
            </w:tcMar>
            <w:vAlign w:val="center"/>
          </w:tcPr>
          <w:p w14:paraId="55B51583" w14:textId="77777777" w:rsidR="00A0360E" w:rsidRDefault="00000000">
            <w:pPr>
              <w:keepNext/>
              <w:keepLines/>
              <w:spacing w:after="0" w:line="240" w:lineRule="auto"/>
              <w:jc w:val="right"/>
            </w:pPr>
            <w:r>
              <w:rPr>
                <w:sz w:val="18"/>
              </w:rPr>
              <w:t>-</w:t>
            </w:r>
          </w:p>
        </w:tc>
      </w:tr>
    </w:tbl>
    <w:p w14:paraId="6DA40799" w14:textId="77777777" w:rsidR="00A0360E" w:rsidRDefault="00A0360E">
      <w:pPr>
        <w:spacing w:after="0"/>
      </w:pPr>
    </w:p>
    <w:p w14:paraId="48C4690D" w14:textId="77777777" w:rsidR="00A0360E" w:rsidRDefault="00000000">
      <w:r>
        <w:t>Stanje nedospjelih obveza za rashode poslovanja u iznosu od 40.744,76 eura odnosi se na:</w:t>
      </w:r>
    </w:p>
    <w:p w14:paraId="31FEE3ED" w14:textId="77777777" w:rsidR="00A0360E" w:rsidRDefault="00000000">
      <w:r>
        <w:t> - 231 -  obveze za zaposlene u iznosu od 23.724,81  eura, odnosno plaću za prosinac 2025. godine koja je isplaćena 08.01.2026. godine </w:t>
      </w:r>
    </w:p>
    <w:p w14:paraId="1A7ACA86" w14:textId="77777777" w:rsidR="00A0360E" w:rsidRDefault="00000000">
      <w:r>
        <w:t>- 232 -  obveze za materijalne rashode u iznosu od 17.019,95 eura za račune dobavljača i naknadu za prijevoz za prosinac 2025. godine s dospijećem u siječnju 2026. godine</w:t>
      </w:r>
    </w:p>
    <w:p w14:paraId="73B83ED5" w14:textId="77777777" w:rsidR="00A0360E" w:rsidRDefault="00A0360E"/>
    <w:sectPr w:rsidR="00A03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0E"/>
    <w:rsid w:val="003758B9"/>
    <w:rsid w:val="007D66AD"/>
    <w:rsid w:val="00A036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B6D9"/>
  <w15:docId w15:val="{FE43156B-34C9-4F63-A61A-CE81FAB4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Mirjana Šmit</cp:lastModifiedBy>
  <cp:revision>2</cp:revision>
  <cp:lastPrinted>2026-01-30T12:57:00Z</cp:lastPrinted>
  <dcterms:created xsi:type="dcterms:W3CDTF">2026-01-30T12:58:00Z</dcterms:created>
  <dcterms:modified xsi:type="dcterms:W3CDTF">2026-01-30T12:58:00Z</dcterms:modified>
</cp:coreProperties>
</file>